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580" w:lineRule="exact"/>
        <w:ind w:firstLine="0" w:firstLineChars="0"/>
        <w:jc w:val="center"/>
        <w:rPr>
          <w:rFonts w:ascii="方正小标宋简体" w:eastAsia="方正小标宋简体"/>
          <w:sz w:val="44"/>
        </w:rPr>
      </w:pPr>
      <w:bookmarkStart w:id="16" w:name="_GoBack"/>
      <w:r>
        <w:rPr>
          <w:rFonts w:hint="eastAsia" w:ascii="方正小标宋简体" w:eastAsia="方正小标宋简体"/>
          <w:sz w:val="44"/>
        </w:rPr>
        <w:t>沈阳市“十四五”市场监管规划</w:t>
      </w:r>
    </w:p>
    <w:bookmarkEnd w:id="16"/>
    <w:p>
      <w:pPr>
        <w:ind w:firstLine="632"/>
      </w:pPr>
    </w:p>
    <w:p>
      <w:pPr>
        <w:ind w:firstLine="632"/>
      </w:pPr>
      <w:r>
        <w:rPr>
          <w:rFonts w:hint="eastAsia"/>
        </w:rPr>
        <w:t>“十四五”时期，是“两个一百年”奋斗目标的历史交汇期，我国将站在全面建成小康社会，实现第一个百年奋斗目标的新的历史起点上，乘势而上开启全面建设社会主义现代化国家新征程，向第二个百年奋斗目标进军。按照完善中国特色社会主义制度、推进国家治理体系和治理能力现代化的总要求，从维护我市高标准市场体系建设、保障公平竞争市场规则有序运行和推动高质量发展出发，围绕助力和服务沈阳全面振兴、全方位振兴，制定本规划。</w:t>
      </w:r>
    </w:p>
    <w:p>
      <w:pPr>
        <w:spacing w:before="579" w:beforeLines="100" w:after="579" w:afterLines="100"/>
        <w:ind w:firstLine="0" w:firstLineChars="0"/>
        <w:jc w:val="center"/>
        <w:outlineLvl w:val="0"/>
        <w:rPr>
          <w:rFonts w:ascii="黑体" w:hAnsi="黑体" w:eastAsia="黑体"/>
        </w:rPr>
      </w:pPr>
      <w:r>
        <w:rPr>
          <w:rFonts w:hint="eastAsia" w:ascii="黑体" w:hAnsi="黑体" w:eastAsia="黑体"/>
        </w:rPr>
        <w:t>第一章　“十三五”时期市场监管成效</w:t>
      </w:r>
    </w:p>
    <w:p>
      <w:pPr>
        <w:ind w:firstLine="632"/>
        <w:outlineLvl w:val="1"/>
        <w:rPr>
          <w:rFonts w:ascii="黑体" w:hAnsi="黑体" w:eastAsia="黑体"/>
        </w:rPr>
      </w:pPr>
      <w:r>
        <w:rPr>
          <w:rFonts w:hint="eastAsia" w:ascii="黑体" w:hAnsi="黑体" w:eastAsia="黑体"/>
        </w:rPr>
        <w:t>一、“十三五”时期历史成效</w:t>
      </w:r>
    </w:p>
    <w:p>
      <w:pPr>
        <w:ind w:firstLine="632"/>
      </w:pPr>
      <w:r>
        <w:rPr>
          <w:rFonts w:hint="eastAsia"/>
        </w:rPr>
        <w:t>“十三五”期间，全市市场监管系统在市委、市政府和国家市场监管总局、省市场监管局的正确领导下，认真学习贯彻习近平新时代中国特色社会主义思想，按照国家和省市统一部署，稳中求进、稳中求新，全面推进职能大融合、改革大提速、监管大提效、服务大提质、能力大提升，市场准入环境持续优化，竞争环境不断改善，消费环境稳中向好，监管体制进一步完善，为市场平稳运行和经济高质量发展提供了有力保障，为“十四五”时期深化市场监管改革创新奠定了坚实基础</w:t>
      </w:r>
      <w:r>
        <w:rPr>
          <w:rFonts w:hint="eastAsia" w:ascii="仿宋_GB2312"/>
        </w:rPr>
        <w:t>。</w:t>
      </w:r>
    </w:p>
    <w:p>
      <w:pPr>
        <w:ind w:firstLine="632"/>
        <w:outlineLvl w:val="1"/>
        <w:rPr>
          <w:rFonts w:ascii="楷体_GB2312" w:eastAsia="楷体_GB2312"/>
        </w:rPr>
      </w:pPr>
      <w:r>
        <w:rPr>
          <w:rFonts w:hint="eastAsia" w:ascii="楷体_GB2312" w:eastAsia="楷体_GB2312"/>
        </w:rPr>
        <w:t>（一）监管体制实现重大变革，统一市场监管格局初步形成</w:t>
      </w:r>
    </w:p>
    <w:p>
      <w:pPr>
        <w:ind w:firstLine="632"/>
      </w:pPr>
      <w:r>
        <w:rPr>
          <w:rFonts w:hint="eastAsia"/>
        </w:rPr>
        <w:t>党中央、国务院从战略高度出发，对市场监管体制改革作出重大决策部署。</w:t>
      </w:r>
      <w:r>
        <w:t>2018</w:t>
      </w:r>
      <w:r>
        <w:rPr>
          <w:rFonts w:hint="eastAsia"/>
        </w:rPr>
        <w:t>年</w:t>
      </w:r>
      <w:r>
        <w:t>10</w:t>
      </w:r>
      <w:r>
        <w:rPr>
          <w:rFonts w:hint="eastAsia"/>
        </w:rPr>
        <w:t>月，按照《沈阳市委 市政府机构改革实施方案》和国家市场监管总局“七个统一”要求，将原市工商局、原市质监局、原市食药监局，以及市发改委价格监督检查、市科技局知识产权管理等职责整合，组建市市场监督管理局，</w:t>
      </w:r>
      <w:r>
        <w:t>2018</w:t>
      </w:r>
      <w:r>
        <w:rPr>
          <w:rFonts w:hint="eastAsia"/>
        </w:rPr>
        <w:t>年</w:t>
      </w:r>
      <w:r>
        <w:t>12</w:t>
      </w:r>
      <w:r>
        <w:rPr>
          <w:rFonts w:hint="eastAsia"/>
        </w:rPr>
        <w:t>月</w:t>
      </w:r>
      <w:r>
        <w:t>30</w:t>
      </w:r>
      <w:r>
        <w:rPr>
          <w:rFonts w:hint="eastAsia"/>
        </w:rPr>
        <w:t>日正式挂牌成立，作为市政府部门，加挂市知识产权局牌子，实现了分段、分领域向统一、综合监管转变；积极推进市场监管综合执法改革。</w:t>
      </w:r>
      <w:r>
        <w:t>2019</w:t>
      </w:r>
      <w:r>
        <w:rPr>
          <w:rFonts w:hint="eastAsia"/>
        </w:rPr>
        <w:t>年</w:t>
      </w:r>
      <w:r>
        <w:t>12</w:t>
      </w:r>
      <w:r>
        <w:rPr>
          <w:rFonts w:hint="eastAsia"/>
        </w:rPr>
        <w:t>月，按照《深化市场监管综合行政执法改革实施方案》部署，整合工商、质监、食品、药品、物价、商标、专利等领域执法职责，通过加挂执法队牌子、人员编制向执法岗位倾斜、原有事业单位整合组建执法队等形式，建立区县“一级队伍”执法体制；协助省局完成药品监管派驻稽查体制改革任务。进一步明确省市药品、医疗器械、化妆品监管事权。从</w:t>
      </w:r>
      <w:r>
        <w:t>2020</w:t>
      </w:r>
      <w:r>
        <w:rPr>
          <w:rFonts w:hint="eastAsia"/>
        </w:rPr>
        <w:t>年</w:t>
      </w:r>
      <w:r>
        <w:t>1</w:t>
      </w:r>
      <w:r>
        <w:rPr>
          <w:rFonts w:hint="eastAsia"/>
        </w:rPr>
        <w:t>月</w:t>
      </w:r>
      <w:r>
        <w:t>1</w:t>
      </w:r>
      <w:r>
        <w:rPr>
          <w:rFonts w:hint="eastAsia"/>
        </w:rPr>
        <w:t>日起，我市不再承担药品生产企业、医疗器械生产企业、化妆品生产企业、医疗机构制剂室、药品批发企业、零售连锁总部、互联网销售第三方平台、疫苗生产企业驻厂及批签发</w:t>
      </w:r>
      <w:r>
        <w:t>8</w:t>
      </w:r>
      <w:r>
        <w:rPr>
          <w:rFonts w:hint="eastAsia"/>
        </w:rPr>
        <w:t>项监管工作，市场监管体制实现历史性变革。</w:t>
      </w:r>
    </w:p>
    <w:p>
      <w:pPr>
        <w:ind w:firstLine="632"/>
        <w:outlineLvl w:val="1"/>
        <w:rPr>
          <w:rFonts w:ascii="楷体_GB2312" w:eastAsia="楷体_GB2312"/>
        </w:rPr>
      </w:pPr>
      <w:r>
        <w:rPr>
          <w:rFonts w:hint="eastAsia" w:ascii="楷体_GB2312" w:eastAsia="楷体_GB2312"/>
        </w:rPr>
        <w:t>（二）商事制度改革深入推进，市场准入准营退出更加便捷</w:t>
      </w:r>
    </w:p>
    <w:p>
      <w:pPr>
        <w:ind w:firstLine="632"/>
      </w:pPr>
      <w:r>
        <w:rPr>
          <w:rFonts w:hint="eastAsia"/>
        </w:rPr>
        <w:t>聚焦企业和群众反映突出的“办事难、办事慢”等烦苛之弊，按照中央、省市决策部署，以刀刃向内的决心，坚持把商事制度改革作为优化营商环境、助力振兴发展的“先手棋”，全面发力、多点突破。在准入方面，实施了“先照后证”改革、“多证合一”改革、住所登记制度改革、企业名称登记制度改革、“企业开办全程网上办”等一系列举措，进一步降低开办企业的制度性成本，一般性企业开办时间压缩到</w:t>
      </w:r>
      <w:r>
        <w:t>0</w:t>
      </w:r>
      <w:r>
        <w:rPr>
          <w:rFonts w:hint="eastAsia"/>
        </w:rPr>
        <w:t>.</w:t>
      </w:r>
      <w:r>
        <w:t>5</w:t>
      </w:r>
      <w:r>
        <w:rPr>
          <w:rFonts w:hint="eastAsia"/>
        </w:rPr>
        <w:t>天，新设企业登记全程电子化率超过</w:t>
      </w:r>
      <w:r>
        <w:t>95</w:t>
      </w:r>
      <w:r>
        <w:rPr>
          <w:rFonts w:hint="eastAsia"/>
        </w:rPr>
        <w:t>％；在准营方面，</w:t>
      </w:r>
      <w:r>
        <w:t>2019</w:t>
      </w:r>
      <w:r>
        <w:rPr>
          <w:rFonts w:hint="eastAsia"/>
        </w:rPr>
        <w:t>年</w:t>
      </w:r>
      <w:r>
        <w:t>12</w:t>
      </w:r>
      <w:r>
        <w:rPr>
          <w:rFonts w:hint="eastAsia"/>
        </w:rPr>
        <w:t>月启动自贸区沈阳片区“证照分离”改革全覆盖试点。按照“四种方式”直接取消审批</w:t>
      </w:r>
      <w:r>
        <w:t>13</w:t>
      </w:r>
      <w:r>
        <w:rPr>
          <w:rFonts w:hint="eastAsia"/>
        </w:rPr>
        <w:t>项，审批改为备案</w:t>
      </w:r>
      <w:r>
        <w:t>8</w:t>
      </w:r>
      <w:r>
        <w:rPr>
          <w:rFonts w:hint="eastAsia"/>
        </w:rPr>
        <w:t>项，实行告知承诺</w:t>
      </w:r>
      <w:r>
        <w:t>62</w:t>
      </w:r>
      <w:r>
        <w:rPr>
          <w:rFonts w:hint="eastAsia"/>
        </w:rPr>
        <w:t>项，优化审批服务</w:t>
      </w:r>
      <w:r>
        <w:t>445</w:t>
      </w:r>
      <w:r>
        <w:rPr>
          <w:rFonts w:hint="eastAsia"/>
        </w:rPr>
        <w:t>项。</w:t>
      </w:r>
      <w:r>
        <w:t>49</w:t>
      </w:r>
      <w:r>
        <w:rPr>
          <w:rFonts w:hint="eastAsia"/>
        </w:rPr>
        <w:t>项涉企事项改革举措在全市推广，提交材料和审批环节平均压减</w:t>
      </w:r>
      <w:r>
        <w:t>20</w:t>
      </w:r>
      <w:r>
        <w:rPr>
          <w:rFonts w:hint="eastAsia"/>
        </w:rPr>
        <w:t>％，审批用时较法定时限平均压减</w:t>
      </w:r>
      <w:r>
        <w:t>70</w:t>
      </w:r>
      <w:r>
        <w:rPr>
          <w:rFonts w:hint="eastAsia"/>
        </w:rPr>
        <w:t>％以上。聚焦“照后减证”，率先在市场监管领域</w:t>
      </w:r>
      <w:r>
        <w:t>11</w:t>
      </w:r>
      <w:r>
        <w:rPr>
          <w:rFonts w:hint="eastAsia"/>
        </w:rPr>
        <w:t>个业态，实行“一个业态、一张许可证”审批模式。截至</w:t>
      </w:r>
      <w:r>
        <w:t>2020</w:t>
      </w:r>
      <w:r>
        <w:rPr>
          <w:rFonts w:hint="eastAsia"/>
        </w:rPr>
        <w:t>年</w:t>
      </w:r>
      <w:r>
        <w:t>12</w:t>
      </w:r>
      <w:r>
        <w:rPr>
          <w:rFonts w:hint="eastAsia"/>
        </w:rPr>
        <w:t>月</w:t>
      </w:r>
      <w:r>
        <w:t>31</w:t>
      </w:r>
      <w:r>
        <w:rPr>
          <w:rFonts w:hint="eastAsia"/>
        </w:rPr>
        <w:t>日,我市已发放</w:t>
      </w:r>
      <w:r>
        <w:t>11</w:t>
      </w:r>
      <w:r>
        <w:rPr>
          <w:rFonts w:hint="eastAsia"/>
        </w:rPr>
        <w:t>类行业综合许可证</w:t>
      </w:r>
      <w:r>
        <w:t>43930</w:t>
      </w:r>
      <w:r>
        <w:rPr>
          <w:rFonts w:hint="eastAsia"/>
        </w:rPr>
        <w:t>张；在退出方面，推进市场主体注销便利化改革，简化一般性注销程序，推行企业注销“一网服务”，深化简易注销登记试点，自实施简易注销政策（</w:t>
      </w:r>
      <w:r>
        <w:t>2016</w:t>
      </w:r>
      <w:r>
        <w:rPr>
          <w:rFonts w:hint="eastAsia"/>
        </w:rPr>
        <w:t>年）以来，共有</w:t>
      </w:r>
      <w:r>
        <w:t>3</w:t>
      </w:r>
      <w:r>
        <w:rPr>
          <w:rFonts w:hint="eastAsia"/>
        </w:rPr>
        <w:t>.</w:t>
      </w:r>
      <w:r>
        <w:t>36</w:t>
      </w:r>
      <w:r>
        <w:rPr>
          <w:rFonts w:hint="eastAsia"/>
        </w:rPr>
        <w:t>万户企业通过简易注销退市，占同期注销企业的</w:t>
      </w:r>
      <w:r>
        <w:t>39</w:t>
      </w:r>
      <w:r>
        <w:rPr>
          <w:rFonts w:hint="eastAsia"/>
        </w:rPr>
        <w:t>.</w:t>
      </w:r>
      <w:r>
        <w:t>58</w:t>
      </w:r>
      <w:r>
        <w:rPr>
          <w:rFonts w:hint="eastAsia"/>
        </w:rPr>
        <w:t>％。一系列改革举措有效激发市场主体活力，市场主体数量增长到</w:t>
      </w:r>
      <w:r>
        <w:t>93</w:t>
      </w:r>
      <w:r>
        <w:rPr>
          <w:rFonts w:hint="eastAsia"/>
        </w:rPr>
        <w:t>.</w:t>
      </w:r>
      <w:r>
        <w:t>21</w:t>
      </w:r>
      <w:r>
        <w:rPr>
          <w:rFonts w:hint="eastAsia"/>
        </w:rPr>
        <w:t>万户，较“十二五”期末（</w:t>
      </w:r>
      <w:r>
        <w:t>2015</w:t>
      </w:r>
      <w:r>
        <w:rPr>
          <w:rFonts w:hint="eastAsia"/>
        </w:rPr>
        <w:t>年末，下同）增长</w:t>
      </w:r>
      <w:r>
        <w:t>85</w:t>
      </w:r>
      <w:r>
        <w:rPr>
          <w:rFonts w:hint="eastAsia"/>
        </w:rPr>
        <w:t>.</w:t>
      </w:r>
      <w:r>
        <w:t>61</w:t>
      </w:r>
      <w:r>
        <w:rPr>
          <w:rFonts w:hint="eastAsia"/>
        </w:rPr>
        <w:t>％，年均增速达到</w:t>
      </w:r>
      <w:r>
        <w:t>13</w:t>
      </w:r>
      <w:r>
        <w:rPr>
          <w:rFonts w:hint="eastAsia"/>
        </w:rPr>
        <w:t>.</w:t>
      </w:r>
      <w:r>
        <w:t>17</w:t>
      </w:r>
      <w:r>
        <w:rPr>
          <w:rFonts w:hint="eastAsia"/>
        </w:rPr>
        <w:t>％；五年共新设市场主体</w:t>
      </w:r>
      <w:r>
        <w:t>76</w:t>
      </w:r>
      <w:r>
        <w:rPr>
          <w:rFonts w:hint="eastAsia"/>
        </w:rPr>
        <w:t>.</w:t>
      </w:r>
      <w:r>
        <w:t>40</w:t>
      </w:r>
      <w:r>
        <w:rPr>
          <w:rFonts w:hint="eastAsia"/>
        </w:rPr>
        <w:t>万户，日均（工作日，下同）新设市场主体</w:t>
      </w:r>
      <w:r>
        <w:t>611</w:t>
      </w:r>
      <w:r>
        <w:rPr>
          <w:rFonts w:hint="eastAsia"/>
        </w:rPr>
        <w:t>户。我市商事制度改革“成效显著”，被国务院认定为</w:t>
      </w:r>
      <w:r>
        <w:t>2019</w:t>
      </w:r>
      <w:r>
        <w:rPr>
          <w:rFonts w:hint="eastAsia"/>
        </w:rPr>
        <w:t>年落实重大政策措施真抓实干成效明显地方并予以督查激励，同时受到省政府、市政府通报表彰。</w:t>
      </w:r>
    </w:p>
    <w:p>
      <w:pPr>
        <w:ind w:firstLine="632"/>
        <w:outlineLvl w:val="1"/>
        <w:rPr>
          <w:rFonts w:ascii="楷体_GB2312" w:eastAsia="楷体_GB2312"/>
        </w:rPr>
      </w:pPr>
      <w:r>
        <w:rPr>
          <w:rFonts w:hint="eastAsia" w:ascii="楷体_GB2312" w:eastAsia="楷体_GB2312"/>
        </w:rPr>
        <w:t>（三）竞争政策深入实施，企业公平参与市场竞争环境持续改善</w:t>
      </w:r>
    </w:p>
    <w:p>
      <w:pPr>
        <w:ind w:firstLine="632"/>
      </w:pPr>
      <w:r>
        <w:rPr>
          <w:rFonts w:hint="eastAsia"/>
        </w:rPr>
        <w:t>针对企业不断增强的公平竞争期盼，充分运用市场监管“工具箱”，在解决多头检查、重复检查方面，在不干涉民营企业经营方面，在进行价格监管、解决乱收费等方面，多措并举，着力为民营企业提供公平竞争的环境。全面落实公平竞争审查制度，率先实现公平竞争审查制度市县两级政府全覆盖。依托</w:t>
      </w:r>
      <w:r>
        <w:t>12315</w:t>
      </w:r>
      <w:r>
        <w:rPr>
          <w:rFonts w:hint="eastAsia"/>
        </w:rPr>
        <w:t>举报平台，构建公平竞争审查投诉举报渠道。率先在全省引入第三方评估制度，建立公平竞争审查专家库。按照“谁制定、谁清理”的原则，坚持存量清理和增量审查并重，清理</w:t>
      </w:r>
      <w:r>
        <w:t>2019</w:t>
      </w:r>
      <w:r>
        <w:rPr>
          <w:rFonts w:hint="eastAsia"/>
        </w:rPr>
        <w:t>年以前存量政策文件</w:t>
      </w:r>
      <w:r>
        <w:t>12181</w:t>
      </w:r>
      <w:r>
        <w:rPr>
          <w:rFonts w:hint="eastAsia"/>
        </w:rPr>
        <w:t>项，清理增量文件</w:t>
      </w:r>
      <w:r>
        <w:t>1002</w:t>
      </w:r>
      <w:r>
        <w:rPr>
          <w:rFonts w:hint="eastAsia"/>
        </w:rPr>
        <w:t>件，对妨碍公平竞争的政策措施“应改尽改、应废尽废”，防止出现新的排除或限制竞争行为的政策措施。强化涉企收费和反不正当竞争执法，“水电气暖”等涉民，“转供电”、中介机构、行业协会商会等涉企重点领域违规收费问题以及侵权假冒、地方保护、行业垄断得到有效治理，重要民生商品假冒伪劣违法行为得到有力遏制。特别是</w:t>
      </w:r>
      <w:r>
        <w:t>2020</w:t>
      </w:r>
      <w:r>
        <w:rPr>
          <w:rFonts w:hint="eastAsia"/>
        </w:rPr>
        <w:t>年，按照省市部署，以最坚定的决心、最有力的举措，彻底根治了在我市持续近</w:t>
      </w:r>
      <w:r>
        <w:t>30</w:t>
      </w:r>
      <w:r>
        <w:rPr>
          <w:rFonts w:hint="eastAsia"/>
        </w:rPr>
        <w:t>年的窖腌酸菜“历史顽疾”，新民、法库</w:t>
      </w:r>
      <w:r>
        <w:t>7175</w:t>
      </w:r>
      <w:r>
        <w:rPr>
          <w:rFonts w:hint="eastAsia"/>
        </w:rPr>
        <w:t>个窖（年产值</w:t>
      </w:r>
      <w:r>
        <w:t>10</w:t>
      </w:r>
      <w:r>
        <w:rPr>
          <w:rFonts w:hint="eastAsia"/>
        </w:rPr>
        <w:t>亿元）全部清零销号，受到省食安委通报表彰。全面加强知识产权保护，</w:t>
      </w:r>
      <w:r>
        <w:t>2019</w:t>
      </w:r>
      <w:r>
        <w:rPr>
          <w:rFonts w:hint="eastAsia"/>
        </w:rPr>
        <w:t>年建成并运行“中国（沈阳）知识产权保护中心”，建立维权援助工作站</w:t>
      </w:r>
      <w:r>
        <w:t>16</w:t>
      </w:r>
      <w:r>
        <w:rPr>
          <w:rFonts w:hint="eastAsia"/>
        </w:rPr>
        <w:t>家，成立沈阳市知识产权纠纷人民调解委员会，设立人民调解工作室</w:t>
      </w:r>
      <w:r>
        <w:t>8</w:t>
      </w:r>
      <w:r>
        <w:rPr>
          <w:rFonts w:hint="eastAsia"/>
        </w:rPr>
        <w:t>个，“一站式”服务、综合性保护体系更加完善。推进沈阳知识产权法庭、知识产权检察室、知识产权支队建设，实现知识产权案件集中管辖，我市知识产权快速协同保护机制更加成熟。</w:t>
      </w:r>
      <w:r>
        <w:t>2020</w:t>
      </w:r>
      <w:r>
        <w:rPr>
          <w:rFonts w:hint="eastAsia"/>
        </w:rPr>
        <w:t>年全国知识产权行政保护工作绩效考核，我市位列东北地区第一名，进入全国排名前</w:t>
      </w:r>
      <w:r>
        <w:t>20</w:t>
      </w:r>
      <w:r>
        <w:rPr>
          <w:rFonts w:hint="eastAsia"/>
        </w:rPr>
        <w:t>（第</w:t>
      </w:r>
      <w:r>
        <w:t>19</w:t>
      </w:r>
      <w:r>
        <w:rPr>
          <w:rFonts w:hint="eastAsia"/>
        </w:rPr>
        <w:t>名），受到国家知识产权局通报表扬。</w:t>
      </w:r>
    </w:p>
    <w:p>
      <w:pPr>
        <w:ind w:firstLine="632"/>
        <w:outlineLvl w:val="1"/>
        <w:rPr>
          <w:rFonts w:ascii="楷体_GB2312" w:eastAsia="楷体_GB2312"/>
        </w:rPr>
      </w:pPr>
      <w:r>
        <w:rPr>
          <w:rFonts w:hint="eastAsia" w:ascii="楷体_GB2312" w:eastAsia="楷体_GB2312"/>
        </w:rPr>
        <w:t>（四）食品药品、特种设备和产品质量安全监管全面加强，“四大安全”监管体系和能力显著提升</w:t>
      </w:r>
    </w:p>
    <w:p>
      <w:pPr>
        <w:ind w:firstLine="632"/>
      </w:pPr>
      <w:r>
        <w:rPr>
          <w:rFonts w:hint="eastAsia"/>
        </w:rPr>
        <w:t>始终把防范化解安全风险底线作为市场监管工作的重中之重，严格贯彻落实习近平总书记“四个最严”要求，扎实做好新时代安全监管工作，使人民群众安全感更加充实、更有保障、更可持续。一方面持续开展食品、药品、特种设备、产品质量安全隐患排查整治行动，全力查消隐患、化解安全风险，全市食品评价性抽检合格率达</w:t>
      </w:r>
      <w:r>
        <w:t>98.8</w:t>
      </w:r>
      <w:r>
        <w:rPr>
          <w:rFonts w:hint="eastAsia"/>
        </w:rPr>
        <w:t>％，食品安全满意度达</w:t>
      </w:r>
      <w:r>
        <w:t>83</w:t>
      </w:r>
      <w:r>
        <w:rPr>
          <w:rFonts w:hint="eastAsia"/>
        </w:rPr>
        <w:t>.</w:t>
      </w:r>
      <w:r>
        <w:t>05</w:t>
      </w:r>
      <w:r>
        <w:rPr>
          <w:rFonts w:hint="eastAsia"/>
        </w:rPr>
        <w:t>％，两个指标持续提升。药品、化妆品合格率均在</w:t>
      </w:r>
      <w:r>
        <w:t>98</w:t>
      </w:r>
      <w:r>
        <w:rPr>
          <w:rFonts w:hint="eastAsia"/>
        </w:rPr>
        <w:t>％以上；产品质量抽样合格率连续四年达到</w:t>
      </w:r>
      <w:r>
        <w:t>96</w:t>
      </w:r>
      <w:r>
        <w:rPr>
          <w:rFonts w:hint="eastAsia"/>
        </w:rPr>
        <w:t>％以上；“十三五”时期全市万台特种设备死亡率</w:t>
      </w:r>
      <w:r>
        <w:t>0</w:t>
      </w:r>
      <w:r>
        <w:rPr>
          <w:rFonts w:hint="eastAsia"/>
        </w:rPr>
        <w:t>.</w:t>
      </w:r>
      <w:r>
        <w:t>036</w:t>
      </w:r>
      <w:r>
        <w:rPr>
          <w:rFonts w:hint="eastAsia"/>
        </w:rPr>
        <w:t>（全国</w:t>
      </w:r>
      <w:r>
        <w:t>0</w:t>
      </w:r>
      <w:r>
        <w:rPr>
          <w:rFonts w:hint="eastAsia"/>
        </w:rPr>
        <w:t>.</w:t>
      </w:r>
      <w:r>
        <w:t>22</w:t>
      </w:r>
      <w:r>
        <w:rPr>
          <w:rFonts w:hint="eastAsia"/>
        </w:rPr>
        <w:t>），较“十二五”同比下降</w:t>
      </w:r>
      <w:r>
        <w:t>0</w:t>
      </w:r>
      <w:r>
        <w:rPr>
          <w:rFonts w:hint="eastAsia"/>
        </w:rPr>
        <w:t>.</w:t>
      </w:r>
      <w:r>
        <w:t>232</w:t>
      </w:r>
      <w:r>
        <w:rPr>
          <w:rFonts w:hint="eastAsia"/>
        </w:rPr>
        <w:t>，全市没有发生较大质量安全事故。食品安全工作成绩突出，受到省食安委通报表扬。另一方面，从建立健全长效机制入手，推进监管方法手段、体制机制创新，加快推进安全监管体系和能力建设。建成以“一网、三库、七系统”为核心全周期特种设备安全动态智能监管体系。食品药品网格化智慧监管实现“一企一档”风险分级管控。我市供餐单位“互联网+明厨亮灶”率</w:t>
      </w:r>
      <w:r>
        <w:t>100</w:t>
      </w:r>
      <w:r>
        <w:rPr>
          <w:rFonts w:hint="eastAsia"/>
        </w:rPr>
        <w:t>％，全市1579家有食堂的中小学校（含幼儿园）“互联网＋明厨亮灶”率100％。运用市场分担风险的机制加强食品、特种设备安全监管，全市</w:t>
      </w:r>
      <w:r>
        <w:t>2245</w:t>
      </w:r>
      <w:r>
        <w:rPr>
          <w:rFonts w:hint="eastAsia"/>
        </w:rPr>
        <w:t>个高校、中小学和托幼机构食堂、</w:t>
      </w:r>
      <w:r>
        <w:t>5</w:t>
      </w:r>
      <w:r>
        <w:rPr>
          <w:rFonts w:hint="eastAsia"/>
        </w:rPr>
        <w:t>万余家正常营业餐饮单位免费投保率</w:t>
      </w:r>
      <w:r>
        <w:t>100</w:t>
      </w:r>
      <w:r>
        <w:rPr>
          <w:rFonts w:hint="eastAsia"/>
        </w:rPr>
        <w:t>％，</w:t>
      </w:r>
      <w:r>
        <w:t>5</w:t>
      </w:r>
      <w:r>
        <w:rPr>
          <w:rFonts w:hint="eastAsia"/>
        </w:rPr>
        <w:t>.</w:t>
      </w:r>
      <w:r>
        <w:t>16</w:t>
      </w:r>
      <w:r>
        <w:rPr>
          <w:rFonts w:hint="eastAsia"/>
        </w:rPr>
        <w:t>万户食品生产经营单位实现免费参保；全市受检在用乘客电梯责任保险覆盖率实现</w:t>
      </w:r>
      <w:r>
        <w:t>100</w:t>
      </w:r>
      <w:r>
        <w:rPr>
          <w:rFonts w:hint="eastAsia"/>
        </w:rPr>
        <w:t>％，位列全省第一，食品、电梯领域“企业自治、行业自律、社会监督、政府监管”多元共治格局初步形成。</w:t>
      </w:r>
    </w:p>
    <w:p>
      <w:pPr>
        <w:ind w:firstLine="632"/>
        <w:outlineLvl w:val="1"/>
        <w:rPr>
          <w:rFonts w:ascii="楷体_GB2312" w:eastAsia="楷体_GB2312"/>
        </w:rPr>
      </w:pPr>
      <w:r>
        <w:rPr>
          <w:rFonts w:hint="eastAsia" w:ascii="楷体_GB2312" w:eastAsia="楷体_GB2312"/>
        </w:rPr>
        <w:t>（五）质量提升行动成效明显，推动“沈阳质量”不断达到新高度</w:t>
      </w:r>
    </w:p>
    <w:p>
      <w:pPr>
        <w:ind w:firstLine="632"/>
      </w:pPr>
      <w:r>
        <w:rPr>
          <w:rFonts w:hint="eastAsia"/>
        </w:rPr>
        <w:t>把质量强市作为城市发展的长远战略，围绕促发展、拉高线，以市委、市政府名义制发《沈阳市质量提升行动实施方案》，从产品、工程、服务、人居和生态质量</w:t>
      </w:r>
      <w:r>
        <w:t>5</w:t>
      </w:r>
      <w:r>
        <w:rPr>
          <w:rFonts w:hint="eastAsia"/>
        </w:rPr>
        <w:t>个方面，提出开展装备制造业质量提升、新材料供给质量提升等</w:t>
      </w:r>
      <w:r>
        <w:t>16</w:t>
      </w:r>
      <w:r>
        <w:rPr>
          <w:rFonts w:hint="eastAsia"/>
        </w:rPr>
        <w:t>项主要行动任务，以质量促发展、以质量促转型，推动“沈阳质量”不断达到新高度。全市累计共有</w:t>
      </w:r>
      <w:r>
        <w:t>3</w:t>
      </w:r>
      <w:r>
        <w:rPr>
          <w:rFonts w:hint="eastAsia"/>
        </w:rPr>
        <w:t>家企业获中国质量奖提名奖，</w:t>
      </w:r>
      <w:r>
        <w:t>14</w:t>
      </w:r>
      <w:r>
        <w:rPr>
          <w:rFonts w:hint="eastAsia"/>
        </w:rPr>
        <w:t>家企业获省长和市长质量奖。新民“新农寒富苹果国家地理标志产品保护示范区”获批，我市地理标志产品保护示范区增至</w:t>
      </w:r>
      <w:r>
        <w:t>2</w:t>
      </w:r>
      <w:r>
        <w:rPr>
          <w:rFonts w:hint="eastAsia"/>
        </w:rPr>
        <w:t>个，拥有地标产品</w:t>
      </w:r>
      <w:r>
        <w:t>18</w:t>
      </w:r>
      <w:r>
        <w:rPr>
          <w:rFonts w:hint="eastAsia"/>
        </w:rPr>
        <w:t>件、证明商标</w:t>
      </w:r>
      <w:r>
        <w:t>10</w:t>
      </w:r>
      <w:r>
        <w:rPr>
          <w:rFonts w:hint="eastAsia"/>
        </w:rPr>
        <w:t>件。辽中玫瑰、老龙口白酒、新农寒富苹果成功入选第一批和第二批</w:t>
      </w:r>
      <w:r>
        <w:t>275</w:t>
      </w:r>
      <w:r>
        <w:rPr>
          <w:rFonts w:hint="eastAsia"/>
        </w:rPr>
        <w:t>个中欧地理标志协定保护名录；新增有机证书、绿色认证证书等各类认证证书</w:t>
      </w:r>
      <w:r>
        <w:t>9409</w:t>
      </w:r>
      <w:r>
        <w:rPr>
          <w:rFonts w:hint="eastAsia"/>
        </w:rPr>
        <w:t>张，</w:t>
      </w:r>
      <w:r>
        <w:t>2</w:t>
      </w:r>
      <w:r>
        <w:rPr>
          <w:rFonts w:hint="eastAsia"/>
        </w:rPr>
        <w:t>家企业获批辽宁省首批（</w:t>
      </w:r>
      <w:r>
        <w:t>5</w:t>
      </w:r>
      <w:r>
        <w:rPr>
          <w:rFonts w:hint="eastAsia"/>
        </w:rPr>
        <w:t>家）绿色产品认证试点企业，占全省</w:t>
      </w:r>
      <w:r>
        <w:t>40</w:t>
      </w:r>
      <w:r>
        <w:rPr>
          <w:rFonts w:hint="eastAsia"/>
        </w:rPr>
        <w:t>％。获批计量标准</w:t>
      </w:r>
      <w:r>
        <w:t>309</w:t>
      </w:r>
      <w:r>
        <w:rPr>
          <w:rFonts w:hint="eastAsia"/>
        </w:rPr>
        <w:t>项，形成较为完备的量值溯源体系。完成国家标准化改革创新先行区三年建设任务，并顺利通过总局验收，累计制修订国际标准</w:t>
      </w:r>
      <w:r>
        <w:t>5</w:t>
      </w:r>
      <w:r>
        <w:rPr>
          <w:rFonts w:hint="eastAsia"/>
        </w:rPr>
        <w:t>项、国家标准</w:t>
      </w:r>
      <w:r>
        <w:t>450</w:t>
      </w:r>
      <w:r>
        <w:rPr>
          <w:rFonts w:hint="eastAsia"/>
        </w:rPr>
        <w:t>项、行业标准</w:t>
      </w:r>
      <w:r>
        <w:t>192</w:t>
      </w:r>
      <w:r>
        <w:rPr>
          <w:rFonts w:hint="eastAsia"/>
        </w:rPr>
        <w:t>项、省市地方标准</w:t>
      </w:r>
      <w:r>
        <w:t>140</w:t>
      </w:r>
      <w:r>
        <w:rPr>
          <w:rFonts w:hint="eastAsia"/>
        </w:rPr>
        <w:t>项、团体标准</w:t>
      </w:r>
      <w:r>
        <w:t>113</w:t>
      </w:r>
      <w:r>
        <w:rPr>
          <w:rFonts w:hint="eastAsia"/>
        </w:rPr>
        <w:t>项，完成率均超过</w:t>
      </w:r>
      <w:r>
        <w:t>100</w:t>
      </w:r>
      <w:r>
        <w:rPr>
          <w:rFonts w:hint="eastAsia"/>
        </w:rPr>
        <w:t>％，均位列全省首位。实施检验检测中心质量提升三年行动，形成以</w:t>
      </w:r>
      <w:r>
        <w:t>8</w:t>
      </w:r>
      <w:r>
        <w:rPr>
          <w:rFonts w:hint="eastAsia"/>
        </w:rPr>
        <w:t>个国家级中心（重点实验室），</w:t>
      </w:r>
      <w:r>
        <w:t>6</w:t>
      </w:r>
      <w:r>
        <w:rPr>
          <w:rFonts w:hint="eastAsia"/>
        </w:rPr>
        <w:t>个省级中心（重点实验室）为龙头的检验检测体系。建成“</w:t>
      </w:r>
      <w:r>
        <w:t>1</w:t>
      </w:r>
      <w:r>
        <w:rPr>
          <w:rFonts w:hint="eastAsia"/>
        </w:rPr>
        <w:t>+</w:t>
      </w:r>
      <w:r>
        <w:t>3</w:t>
      </w:r>
      <w:r>
        <w:rPr>
          <w:rFonts w:hint="eastAsia"/>
        </w:rPr>
        <w:t>+</w:t>
      </w:r>
      <w:r>
        <w:t>1</w:t>
      </w:r>
      <w:r>
        <w:rPr>
          <w:rFonts w:hint="eastAsia"/>
        </w:rPr>
        <w:t>”质量基础设施“一站式”体系。获批增设沈阳航空口岸为药品进口口岸。我市连续</w:t>
      </w:r>
      <w:r>
        <w:t>4</w:t>
      </w:r>
      <w:r>
        <w:rPr>
          <w:rFonts w:hint="eastAsia"/>
        </w:rPr>
        <w:t>年在省质量专项考核中被评为</w:t>
      </w:r>
      <w:r>
        <w:t>A</w:t>
      </w:r>
      <w:r>
        <w:rPr>
          <w:rFonts w:hint="eastAsia"/>
        </w:rPr>
        <w:t>类,“推进质量工作”受到国务院和省政府督查激励。</w:t>
      </w:r>
    </w:p>
    <w:p>
      <w:pPr>
        <w:ind w:firstLine="629" w:firstLineChars="0"/>
        <w:outlineLvl w:val="1"/>
        <w:rPr>
          <w:rFonts w:ascii="黑体" w:hAnsi="黑体" w:eastAsia="黑体"/>
        </w:rPr>
      </w:pPr>
      <w:r>
        <w:rPr>
          <w:rFonts w:hint="eastAsia" w:ascii="黑体" w:hAnsi="黑体" w:eastAsia="黑体"/>
        </w:rPr>
        <w:t>二、“十四五”时期面临的机遇与挑战</w:t>
      </w:r>
    </w:p>
    <w:p>
      <w:pPr>
        <w:ind w:firstLine="632"/>
      </w:pPr>
      <w:r>
        <w:rPr>
          <w:rFonts w:hint="eastAsia"/>
        </w:rPr>
        <w:t>当今世界正处于百年未有之大变局、实现中华民族伟大复兴正处于关键时期。我国正在加快构建</w:t>
      </w:r>
      <w:bookmarkStart w:id="0" w:name="_Hlk103673395"/>
      <w:r>
        <w:rPr>
          <w:rFonts w:hint="eastAsia"/>
        </w:rPr>
        <w:t>市场在资源配置中起决定性作用</w:t>
      </w:r>
      <w:bookmarkEnd w:id="0"/>
      <w:r>
        <w:rPr>
          <w:rFonts w:hint="eastAsia"/>
        </w:rPr>
        <w:t>，</w:t>
      </w:r>
      <w:r>
        <w:t>准入畅通、</w:t>
      </w:r>
      <w:r>
        <w:rPr>
          <w:rFonts w:hint="eastAsia"/>
        </w:rPr>
        <w:t>统一</w:t>
      </w:r>
      <w:r>
        <w:t>开放</w:t>
      </w:r>
      <w:r>
        <w:rPr>
          <w:rFonts w:hint="eastAsia"/>
        </w:rPr>
        <w:t>、竞争</w:t>
      </w:r>
      <w:r>
        <w:t>有序</w:t>
      </w:r>
      <w:r>
        <w:rPr>
          <w:rFonts w:hint="eastAsia"/>
        </w:rPr>
        <w:t>的现代市场体系。</w:t>
      </w:r>
      <w:r>
        <w:t>2018</w:t>
      </w:r>
      <w:r>
        <w:rPr>
          <w:rFonts w:hint="eastAsia"/>
        </w:rPr>
        <w:t>年</w:t>
      </w:r>
      <w:r>
        <w:t>9</w:t>
      </w:r>
      <w:r>
        <w:rPr>
          <w:rFonts w:hint="eastAsia"/>
        </w:rPr>
        <w:t>月，习近平总书记到东北三省考察并在沈阳主持召开深入推进东北振兴座谈会，在科学分析东北地区存在的矛盾和短板的基础上，就深入推进东北振兴提出“深化改革、创新驱动、协调发展、绿色发展、开放合作、共享发展”六个方面使命任务，并赋予东北维护国家国防安全、粮食安全、生态安全、能源安全、产业安全“五大安全”战略定位，同时，国家大力实施东北全面振兴战略，习近平总书记作出“新时代东北全面振兴‘十四五’期间要有突破”的重要指示，为沈阳发展带来了历史新机遇。</w:t>
      </w:r>
    </w:p>
    <w:p>
      <w:pPr>
        <w:ind w:firstLine="629" w:firstLineChars="0"/>
        <w:rPr>
          <w:rFonts w:ascii="仿宋_GB2312" w:cs="楷体"/>
          <w:szCs w:val="32"/>
        </w:rPr>
      </w:pPr>
      <w:r>
        <w:rPr>
          <w:rFonts w:hint="eastAsia"/>
        </w:rPr>
        <w:t>大力实施</w:t>
      </w:r>
      <w:bookmarkStart w:id="1" w:name="_Hlk95828371"/>
      <w:r>
        <w:rPr>
          <w:rFonts w:hint="eastAsia"/>
        </w:rPr>
        <w:t>“五大安全”战略、“六个方面”使命任务</w:t>
      </w:r>
      <w:bookmarkEnd w:id="1"/>
      <w:r>
        <w:rPr>
          <w:rFonts w:hint="eastAsia"/>
        </w:rPr>
        <w:t>，需要有效激发市场主体活力，积极发挥现代化市场体系在推动高质量发展中的支撑作用、在构建新发展格局中的基础作用、在创造高品质生活中的保障作用，市场监管的历史使命重大而艰巨。同时，我市发展不平衡不充分问题仍然突出，</w:t>
      </w:r>
      <w:r>
        <w:rPr>
          <w:rFonts w:hint="eastAsia" w:ascii="仿宋_GB2312" w:cs="楷体"/>
          <w:szCs w:val="32"/>
        </w:rPr>
        <w:t>市场主体数量培育、市场竞争格局重塑、市场业态发展变化、市场秩序规范健康、产品设备安全风险等都对市场监管工作提出了新的要求。</w:t>
      </w:r>
    </w:p>
    <w:p>
      <w:pPr>
        <w:ind w:firstLine="629" w:firstLineChars="0"/>
      </w:pPr>
      <w:r>
        <w:rPr>
          <w:rFonts w:hint="eastAsia" w:ascii="仿宋_GB2312" w:cs="楷体"/>
          <w:szCs w:val="32"/>
        </w:rPr>
        <w:t>“十四五”时期，市场监管大有可为。要善于在危机中育先机、于变局中开新局，准确把握</w:t>
      </w:r>
      <w:bookmarkStart w:id="2" w:name="_Hlk96000178"/>
      <w:r>
        <w:rPr>
          <w:rFonts w:hint="eastAsia" w:ascii="仿宋_GB2312" w:cs="楷体"/>
          <w:szCs w:val="32"/>
        </w:rPr>
        <w:t>两个百年交汇期</w:t>
      </w:r>
      <w:bookmarkEnd w:id="2"/>
      <w:r>
        <w:rPr>
          <w:rFonts w:hint="eastAsia" w:ascii="仿宋_GB2312" w:cs="楷体"/>
          <w:szCs w:val="32"/>
        </w:rPr>
        <w:t>的时代要求和国内外形势的深刻变化，准确把握沈阳发展阶段特征和新时代市场监管任务要求，充分调动各方积极性，坚持以改革创新为根本动力</w:t>
      </w:r>
      <w:r>
        <w:rPr>
          <w:rFonts w:hint="eastAsia" w:ascii="仿宋_GB2312" w:hAnsi="微软雅黑" w:cs="微软雅黑"/>
          <w:kern w:val="0"/>
          <w:szCs w:val="32"/>
        </w:rPr>
        <w:t>，坚定信心、奋发有为，为大力实施</w:t>
      </w:r>
      <w:r>
        <w:rPr>
          <w:rFonts w:hint="eastAsia"/>
        </w:rPr>
        <w:t>“五大安全”战略，奋力推进“六个方面”使命任务，推动新时代沈阳全面振兴全方位振兴，建设国家中心城市贡献市场监管智慧和力量。</w:t>
      </w:r>
    </w:p>
    <w:p>
      <w:pPr>
        <w:spacing w:before="579" w:beforeLines="100" w:after="579" w:afterLines="100"/>
        <w:ind w:firstLine="0" w:firstLineChars="0"/>
        <w:jc w:val="center"/>
        <w:outlineLvl w:val="0"/>
        <w:rPr>
          <w:rFonts w:ascii="黑体" w:hAnsi="黑体" w:eastAsia="黑体"/>
        </w:rPr>
      </w:pPr>
      <w:r>
        <w:rPr>
          <w:rFonts w:hint="eastAsia" w:ascii="黑体" w:hAnsi="黑体" w:eastAsia="黑体"/>
        </w:rPr>
        <w:t>第二章　总体思路</w:t>
      </w:r>
    </w:p>
    <w:p>
      <w:pPr>
        <w:ind w:firstLine="632"/>
        <w:outlineLvl w:val="1"/>
        <w:rPr>
          <w:rFonts w:ascii="黑体" w:hAnsi="黑体" w:eastAsia="黑体"/>
        </w:rPr>
      </w:pPr>
      <w:r>
        <w:rPr>
          <w:rFonts w:hint="eastAsia" w:ascii="黑体" w:hAnsi="黑体" w:eastAsia="黑体"/>
        </w:rPr>
        <w:t>一、指导思想</w:t>
      </w:r>
    </w:p>
    <w:p>
      <w:pPr>
        <w:ind w:firstLine="632"/>
      </w:pPr>
      <w:r>
        <w:rPr>
          <w:rFonts w:hint="eastAsia"/>
        </w:rPr>
        <w:t>以习近平新时代中国特色社会主义思想为指导，认真学习贯彻党的十九大和十九届历次全会精神，深入贯彻落实习近平总书记关于东北、辽宁振兴发展的重要讲话和指示精神，立足新发展阶段，完整、准确、全面贯彻新发展理念，构建新发展格局，牢固树立“监管为民、为民监管”核心价值观，紧扣建设高标准市场体系、推进高质量发展和创造高品质生活目标，聚焦“让人民群众吃得放心、穿得称心、用得舒心”要求，统筹活力和秩序、发展和安全、效率和公平、创新和保护，对标最高标准和最好水平，着力营造办事方便、法治良好、成本竞争力强、生态宜居的营商环境，持续培育和壮大市场主体、激发市场主体活力，强化竞争政策基础性地位、维护市场秩序，坚守安全底线、维护社会和谐稳定，完善质量政策和技术体系、全面提升质量水平，打造统一规范、系统高效的现代化市场监管体系，不断增强人民群众的获得感幸福感安全感，为高质量发展、高品质生活、高水平治理提供有力支撑</w:t>
      </w:r>
      <w:r>
        <w:rPr>
          <w:rFonts w:hint="eastAsia" w:ascii="仿宋_GB2312"/>
        </w:rPr>
        <w:t>。</w:t>
      </w:r>
    </w:p>
    <w:p>
      <w:pPr>
        <w:ind w:firstLine="632"/>
        <w:outlineLvl w:val="1"/>
        <w:rPr>
          <w:rFonts w:ascii="黑体" w:hAnsi="黑体" w:eastAsia="黑体"/>
        </w:rPr>
      </w:pPr>
      <w:r>
        <w:rPr>
          <w:rFonts w:hint="eastAsia" w:ascii="黑体" w:hAnsi="黑体" w:eastAsia="黑体"/>
        </w:rPr>
        <w:t>二、基本原则</w:t>
      </w:r>
    </w:p>
    <w:p>
      <w:pPr>
        <w:ind w:firstLine="632"/>
        <w:outlineLvl w:val="2"/>
        <w:rPr>
          <w:rFonts w:ascii="楷体_GB2312" w:eastAsia="楷体_GB2312"/>
          <w:vanish/>
        </w:rPr>
      </w:pPr>
      <w:r>
        <w:rPr>
          <w:rFonts w:hint="eastAsia" w:ascii="楷体_GB2312" w:eastAsia="楷体_GB2312"/>
        </w:rPr>
        <w:t>——坚持新发展理念。</w:t>
      </w:r>
    </w:p>
    <w:p>
      <w:pPr>
        <w:ind w:firstLine="632"/>
      </w:pPr>
      <w:r>
        <w:rPr>
          <w:rFonts w:hint="eastAsia"/>
        </w:rPr>
        <w:t>全方位贯彻落实新发展理念，积极服务构建新发展格局，推动高质量发展。立足发展根本，进一步解放思想、转变观念，坚决破除不符合高标准市场体系建设要求、影响统一大市场建设的障碍瓶颈，向制度机制创新要动力、求发展。</w:t>
      </w:r>
    </w:p>
    <w:p>
      <w:pPr>
        <w:ind w:firstLine="632"/>
        <w:outlineLvl w:val="2"/>
        <w:rPr>
          <w:rFonts w:ascii="楷体_GB2312" w:eastAsia="楷体_GB2312"/>
          <w:vanish/>
        </w:rPr>
      </w:pPr>
      <w:r>
        <w:rPr>
          <w:rFonts w:hint="eastAsia" w:ascii="楷体_GB2312" w:eastAsia="楷体_GB2312"/>
        </w:rPr>
        <w:t>——坚持以人民为中心。</w:t>
      </w:r>
    </w:p>
    <w:p>
      <w:pPr>
        <w:ind w:firstLine="632"/>
      </w:pPr>
      <w:r>
        <w:rPr>
          <w:rFonts w:hint="eastAsia"/>
        </w:rPr>
        <w:t>坚定为民办实事的责任担当，聚焦人民群众关心的突出问题，实现更加精准有效的监管</w:t>
      </w:r>
      <w:r>
        <w:rPr>
          <w:rFonts w:hint="eastAsia" w:ascii="仿宋_GB2312"/>
        </w:rPr>
        <w:t>。</w:t>
      </w:r>
      <w:r>
        <w:rPr>
          <w:rFonts w:hint="eastAsia"/>
        </w:rPr>
        <w:t>坚持人民群众的主体地位，构建人民群众广泛参与的社会共治格局</w:t>
      </w:r>
      <w:r>
        <w:rPr>
          <w:rFonts w:hint="eastAsia" w:ascii="仿宋_GB2312"/>
        </w:rPr>
        <w:t>。</w:t>
      </w:r>
    </w:p>
    <w:p>
      <w:pPr>
        <w:ind w:firstLine="632"/>
        <w:outlineLvl w:val="2"/>
        <w:rPr>
          <w:rFonts w:ascii="楷体_GB2312" w:eastAsia="楷体_GB2312"/>
          <w:vanish/>
        </w:rPr>
      </w:pPr>
      <w:r>
        <w:rPr>
          <w:rFonts w:hint="eastAsia" w:ascii="楷体_GB2312" w:eastAsia="楷体_GB2312"/>
        </w:rPr>
        <w:t>——坚持推动创新发展。</w:t>
      </w:r>
    </w:p>
    <w:p>
      <w:pPr>
        <w:ind w:firstLine="632"/>
      </w:pPr>
      <w:r>
        <w:rPr>
          <w:rFonts w:hint="eastAsia"/>
        </w:rPr>
        <w:t>以改革创新作为提高市场监管治理能力和水平的根本动力，坚持数字化转型主攻方向，因地制宜稳步推进，推动市场治理模式再造、场景再造、应用再造，加快市场监管整体融入“一网通办”和“一网统管”，大幅提高监管效能，不断降低监管成本</w:t>
      </w:r>
      <w:r>
        <w:rPr>
          <w:rFonts w:hint="eastAsia" w:ascii="仿宋_GB2312"/>
        </w:rPr>
        <w:t>。</w:t>
      </w:r>
    </w:p>
    <w:p>
      <w:pPr>
        <w:ind w:firstLine="632"/>
        <w:outlineLvl w:val="2"/>
        <w:rPr>
          <w:rFonts w:ascii="楷体_GB2312" w:eastAsia="楷体_GB2312"/>
          <w:vanish/>
        </w:rPr>
      </w:pPr>
      <w:r>
        <w:rPr>
          <w:rFonts w:hint="eastAsia" w:ascii="楷体_GB2312" w:eastAsia="楷体_GB2312"/>
        </w:rPr>
        <w:t>——坚持系统观念。</w:t>
      </w:r>
    </w:p>
    <w:p>
      <w:pPr>
        <w:ind w:firstLine="632"/>
      </w:pPr>
      <w:r>
        <w:rPr>
          <w:rFonts w:hint="eastAsia"/>
        </w:rPr>
        <w:t>统筹监管线上和线下、产品和服务、传统经济和新兴业态等各类对象，统筹活力和秩序、发展和安全等多元目标均衡，统筹发挥市场、行政、法律、技术、信用等多种手段，统筹发挥市场、政府、社会等各方作用，切实提高市场综合监管能力</w:t>
      </w:r>
      <w:r>
        <w:rPr>
          <w:rFonts w:hint="eastAsia" w:ascii="仿宋_GB2312"/>
        </w:rPr>
        <w:t>。</w:t>
      </w:r>
    </w:p>
    <w:p>
      <w:pPr>
        <w:ind w:firstLine="632"/>
        <w:outlineLvl w:val="2"/>
        <w:rPr>
          <w:rFonts w:ascii="楷体_GB2312" w:eastAsia="楷体_GB2312"/>
          <w:vanish/>
        </w:rPr>
      </w:pPr>
      <w:r>
        <w:rPr>
          <w:rFonts w:hint="eastAsia" w:ascii="楷体_GB2312" w:eastAsia="楷体_GB2312"/>
        </w:rPr>
        <w:t>——坚持务实简约高效。</w:t>
      </w:r>
    </w:p>
    <w:p>
      <w:pPr>
        <w:ind w:firstLine="632"/>
      </w:pPr>
      <w:r>
        <w:rPr>
          <w:rFonts w:hint="eastAsia"/>
        </w:rPr>
        <w:t>瞄准市场主体“急难愁盼”和社会热点，以简约高效的组织形式，探索协同监管、综合监管路径，综合运用监管工具，以小切口解决共性和复杂问题，动真情、办实事，实事求是、久久为功</w:t>
      </w:r>
      <w:r>
        <w:rPr>
          <w:rFonts w:hint="eastAsia" w:ascii="仿宋_GB2312"/>
        </w:rPr>
        <w:t>。</w:t>
      </w:r>
    </w:p>
    <w:p>
      <w:pPr>
        <w:ind w:firstLine="632"/>
        <w:outlineLvl w:val="2"/>
        <w:rPr>
          <w:rFonts w:ascii="楷体_GB2312" w:eastAsia="楷体_GB2312"/>
          <w:vanish/>
        </w:rPr>
      </w:pPr>
      <w:r>
        <w:rPr>
          <w:rFonts w:hint="eastAsia" w:ascii="楷体_GB2312" w:eastAsia="楷体_GB2312"/>
        </w:rPr>
        <w:t>——坚持依法行政。</w:t>
      </w:r>
    </w:p>
    <w:p>
      <w:pPr>
        <w:ind w:firstLine="632"/>
      </w:pPr>
      <w:r>
        <w:rPr>
          <w:rFonts w:hint="eastAsia"/>
        </w:rPr>
        <w:t>强化法治思维，严格依据法定职责、权限、程序办事，厘清职能边界、明确权责范围，强化法治约束，严格规范公正文明执法，推动市场监管工作全面步入法治化轨道，更好地发挥法治在市场监管中的保障性作用</w:t>
      </w:r>
      <w:r>
        <w:rPr>
          <w:rFonts w:hint="eastAsia" w:ascii="仿宋_GB2312"/>
        </w:rPr>
        <w:t>。</w:t>
      </w:r>
    </w:p>
    <w:p>
      <w:pPr>
        <w:ind w:firstLine="632"/>
        <w:outlineLvl w:val="1"/>
        <w:rPr>
          <w:rFonts w:ascii="黑体" w:hAnsi="黑体" w:eastAsia="黑体"/>
        </w:rPr>
      </w:pPr>
      <w:r>
        <w:rPr>
          <w:rFonts w:hint="eastAsia" w:ascii="黑体" w:hAnsi="黑体" w:eastAsia="黑体"/>
        </w:rPr>
        <w:t>三、主要目标</w:t>
      </w:r>
    </w:p>
    <w:p>
      <w:pPr>
        <w:ind w:firstLine="632"/>
      </w:pPr>
      <w:r>
        <w:rPr>
          <w:rFonts w:hint="eastAsia"/>
        </w:rPr>
        <w:t>到</w:t>
      </w:r>
      <w:r>
        <w:t>2025</w:t>
      </w:r>
      <w:r>
        <w:rPr>
          <w:rFonts w:hint="eastAsia"/>
        </w:rPr>
        <w:t>年，市场监管效能和市场效率进一步提高，市场监管领域营商环境进一步优化，系统、科学、规范、高效的市场监管体系更加成熟，市场监管治理体系和治理能力现代化基础进一步夯实，统一开放、竞争有序、诚信守法、监管有力的现代市场体系得到巩固发展</w:t>
      </w:r>
      <w:r>
        <w:rPr>
          <w:rFonts w:hint="eastAsia" w:ascii="仿宋_GB2312"/>
        </w:rPr>
        <w:t>。</w:t>
      </w:r>
    </w:p>
    <w:p>
      <w:pPr>
        <w:ind w:firstLine="632"/>
        <w:outlineLvl w:val="2"/>
        <w:rPr>
          <w:rFonts w:ascii="楷体_GB2312" w:eastAsia="楷体_GB2312"/>
          <w:vanish/>
        </w:rPr>
      </w:pPr>
      <w:r>
        <w:rPr>
          <w:rFonts w:hint="eastAsia" w:ascii="楷体_GB2312" w:eastAsia="楷体_GB2312"/>
        </w:rPr>
        <w:t>——市场主体活力显著提升。</w:t>
      </w:r>
    </w:p>
    <w:p>
      <w:pPr>
        <w:ind w:firstLine="632"/>
        <w:outlineLvl w:val="2"/>
      </w:pPr>
      <w:r>
        <w:rPr>
          <w:rFonts w:hint="eastAsia"/>
        </w:rPr>
        <w:t>商事登记前置后置审批事项大幅减少，影响投资创业便利度的制度性障碍和隐性壁垒基本消除，稳定、公平、透明、可预期的市场准入规则基本形成。行政审批制度改革持续深化，行政审批工作模式不断创新，智能化、便捷化、高效化水平明显提升</w:t>
      </w:r>
      <w:r>
        <w:rPr>
          <w:rFonts w:hint="eastAsia" w:ascii="仿宋_GB2312"/>
        </w:rPr>
        <w:t>。</w:t>
      </w:r>
      <w:r>
        <w:rPr>
          <w:rFonts w:hint="eastAsia"/>
        </w:rPr>
        <w:t>市场主体数量持续增长，提升市场主体运行质量，扩大经营规模，企业生命周期有效延长</w:t>
      </w:r>
      <w:r>
        <w:rPr>
          <w:rFonts w:hint="eastAsia" w:ascii="仿宋_GB2312"/>
        </w:rPr>
        <w:t>。</w:t>
      </w:r>
    </w:p>
    <w:p>
      <w:pPr>
        <w:ind w:firstLine="632"/>
        <w:outlineLvl w:val="2"/>
        <w:rPr>
          <w:rFonts w:ascii="楷体_GB2312" w:eastAsia="楷体_GB2312"/>
          <w:vanish/>
        </w:rPr>
      </w:pPr>
      <w:r>
        <w:rPr>
          <w:rFonts w:hint="eastAsia" w:ascii="楷体_GB2312" w:eastAsia="楷体_GB2312"/>
        </w:rPr>
        <w:t>——市场治理能力有效增强。</w:t>
      </w:r>
    </w:p>
    <w:p>
      <w:pPr>
        <w:ind w:firstLine="632"/>
      </w:pPr>
      <w:r>
        <w:rPr>
          <w:rFonts w:hint="eastAsia"/>
        </w:rPr>
        <w:t>竞争政策的基础地位进一步强化，公平竞争意识和公平竞争文化显著增强，公平竞争政策有效实施</w:t>
      </w:r>
      <w:r>
        <w:rPr>
          <w:rFonts w:hint="eastAsia" w:ascii="仿宋_GB2312"/>
        </w:rPr>
        <w:t>。</w:t>
      </w:r>
      <w:r>
        <w:rPr>
          <w:rFonts w:hint="eastAsia"/>
        </w:rPr>
        <w:t>反不正当竞争执法成效显著，线上线下市场得到有效治理，企业主体责任得到有效落实，市场秩序进一步改善</w:t>
      </w:r>
      <w:r>
        <w:rPr>
          <w:rFonts w:hint="eastAsia" w:ascii="仿宋_GB2312"/>
        </w:rPr>
        <w:t>。</w:t>
      </w:r>
      <w:r>
        <w:rPr>
          <w:rFonts w:hint="eastAsia"/>
        </w:rPr>
        <w:t>事中事后监管制度体系更加完备，监管工作更加公开透明，信用监管、智慧监管制度进一步完善，监管手段不断创新，现代化、智能化的“互联网＋监管”模式得到广泛应用，科学高效的监管体系基本形成</w:t>
      </w:r>
      <w:r>
        <w:rPr>
          <w:rFonts w:hint="eastAsia" w:ascii="仿宋_GB2312"/>
        </w:rPr>
        <w:t>。</w:t>
      </w:r>
    </w:p>
    <w:p>
      <w:pPr>
        <w:ind w:firstLine="632"/>
        <w:outlineLvl w:val="2"/>
        <w:rPr>
          <w:rFonts w:ascii="楷体_GB2312" w:eastAsia="楷体_GB2312"/>
          <w:vanish/>
        </w:rPr>
      </w:pPr>
      <w:r>
        <w:rPr>
          <w:rFonts w:hint="eastAsia" w:ascii="楷体_GB2312" w:eastAsia="楷体_GB2312"/>
        </w:rPr>
        <w:t>——市场安全水平稳固提升。</w:t>
      </w:r>
    </w:p>
    <w:p>
      <w:pPr>
        <w:ind w:firstLine="632"/>
      </w:pPr>
      <w:r>
        <w:rPr>
          <w:rFonts w:hint="eastAsia"/>
        </w:rPr>
        <w:t>习近平总书记“四个最严”要求全面落实到位，生产经营者责任意识、诚信意识和质量安全管理能力明显提高，社会共治水平有效提升</w:t>
      </w:r>
      <w:r>
        <w:rPr>
          <w:rFonts w:hint="eastAsia" w:ascii="仿宋_GB2312"/>
        </w:rPr>
        <w:t>。</w:t>
      </w:r>
      <w:r>
        <w:rPr>
          <w:rFonts w:hint="eastAsia"/>
        </w:rPr>
        <w:t>在食品药品、特种设备、产品质量安全监管领域，不发生系统性、区域性重大安全风险事件</w:t>
      </w:r>
      <w:r>
        <w:rPr>
          <w:rFonts w:hint="eastAsia" w:ascii="仿宋_GB2312"/>
        </w:rPr>
        <w:t>。</w:t>
      </w:r>
      <w:r>
        <w:rPr>
          <w:rFonts w:hint="eastAsia"/>
        </w:rPr>
        <w:t>主要食品和农产品质量安全总体监测合格率、食品安全状况市民总体满意度进一步提高，特种设备事故死亡率稳中有降</w:t>
      </w:r>
      <w:r>
        <w:rPr>
          <w:rFonts w:hint="eastAsia" w:ascii="仿宋_GB2312"/>
        </w:rPr>
        <w:t>。</w:t>
      </w:r>
    </w:p>
    <w:p>
      <w:pPr>
        <w:ind w:firstLine="632"/>
        <w:outlineLvl w:val="2"/>
        <w:rPr>
          <w:rFonts w:ascii="楷体_GB2312" w:eastAsia="楷体_GB2312"/>
          <w:vanish/>
        </w:rPr>
      </w:pPr>
      <w:r>
        <w:rPr>
          <w:rFonts w:hint="eastAsia" w:ascii="楷体_GB2312" w:eastAsia="楷体_GB2312"/>
        </w:rPr>
        <w:t>——市场创新能力显著提高。</w:t>
      </w:r>
    </w:p>
    <w:p>
      <w:pPr>
        <w:ind w:firstLine="632"/>
      </w:pPr>
      <w:r>
        <w:rPr>
          <w:rFonts w:hint="eastAsia"/>
        </w:rPr>
        <w:t>深入实施质量强市战略、标准化战略、知识产权强市战略，推动供给侧结构性改革和创新驱动发展，质量变革、效率变革、动力变革取得显著进展，产品和服务质量显著提升，打造一批市场知名度高、产品竞争力强的质量品牌，质量体系和质量工作体系更加完善</w:t>
      </w:r>
      <w:r>
        <w:rPr>
          <w:rFonts w:hint="eastAsia" w:ascii="仿宋_GB2312"/>
        </w:rPr>
        <w:t>。</w:t>
      </w:r>
      <w:r>
        <w:rPr>
          <w:rFonts w:hint="eastAsia"/>
        </w:rPr>
        <w:t>知识产权创造质量、运用效益、保护效能、管理能力和服务水平有效提升，到</w:t>
      </w:r>
      <w:r>
        <w:t>2025</w:t>
      </w:r>
      <w:r>
        <w:rPr>
          <w:rFonts w:hint="eastAsia"/>
        </w:rPr>
        <w:t>年，每万人口高价值发明专利拥有量高于全省平均水平，商标有效注册量年均增长</w:t>
      </w:r>
      <w:r>
        <w:t>15</w:t>
      </w:r>
      <w:r>
        <w:rPr>
          <w:rFonts w:hint="eastAsia"/>
        </w:rPr>
        <w:t>％，地理标志产业发展格局更加完善</w:t>
      </w:r>
      <w:r>
        <w:rPr>
          <w:rFonts w:hint="eastAsia" w:ascii="仿宋_GB2312"/>
        </w:rPr>
        <w:t>。</w:t>
      </w:r>
    </w:p>
    <w:p>
      <w:pPr>
        <w:ind w:firstLine="632"/>
        <w:rPr>
          <w:rFonts w:ascii="楷体_GB2312" w:eastAsia="楷体_GB2312"/>
          <w:vanish/>
        </w:rPr>
      </w:pPr>
      <w:r>
        <w:rPr>
          <w:rFonts w:hint="eastAsia" w:ascii="楷体_GB2312" w:eastAsia="楷体_GB2312"/>
        </w:rPr>
        <w:t>——基础支撑能力显著增强。</w:t>
      </w:r>
    </w:p>
    <w:p>
      <w:pPr>
        <w:ind w:firstLine="632"/>
      </w:pPr>
      <w:r>
        <w:rPr>
          <w:rFonts w:hint="eastAsia"/>
        </w:rPr>
        <w:t>加快标准、计量、合格评定、专利等体系和能力建设，培育一批具有较强竞争力的检验检测机构</w:t>
      </w:r>
      <w:r>
        <w:rPr>
          <w:rFonts w:hint="eastAsia" w:ascii="仿宋_GB2312"/>
        </w:rPr>
        <w:t>。</w:t>
      </w:r>
      <w:r>
        <w:rPr>
          <w:rFonts w:hint="eastAsia"/>
        </w:rPr>
        <w:t>推动产业计量测试中心和平台建设，拓展现有社会公用计量标准测量范围，填补省内重点量值溯源链建设空白</w:t>
      </w:r>
      <w:r>
        <w:rPr>
          <w:rFonts w:hint="eastAsia" w:ascii="仿宋_GB2312"/>
        </w:rPr>
        <w:t>。</w:t>
      </w:r>
      <w:r>
        <w:rPr>
          <w:rFonts w:hint="eastAsia"/>
        </w:rPr>
        <w:t>筹建</w:t>
      </w:r>
      <w:r>
        <w:t>2</w:t>
      </w:r>
      <w:r>
        <w:rPr>
          <w:rFonts w:hint="eastAsia"/>
        </w:rPr>
        <w:t>家省级质检中心</w:t>
      </w:r>
      <w:r>
        <w:rPr>
          <w:rFonts w:hint="eastAsia" w:ascii="仿宋_GB2312"/>
        </w:rPr>
        <w:t>。</w:t>
      </w:r>
    </w:p>
    <w:p>
      <w:pPr>
        <w:ind w:firstLine="632"/>
        <w:outlineLvl w:val="2"/>
        <w:rPr>
          <w:rFonts w:ascii="楷体_GB2312" w:eastAsia="楷体_GB2312"/>
          <w:vanish/>
        </w:rPr>
      </w:pPr>
      <w:r>
        <w:rPr>
          <w:rFonts w:hint="eastAsia" w:ascii="楷体_GB2312" w:eastAsia="楷体_GB2312"/>
        </w:rPr>
        <w:t>——市场监管机制更加健全。</w:t>
      </w:r>
    </w:p>
    <w:p>
      <w:pPr>
        <w:ind w:firstLine="632"/>
        <w:rPr>
          <w:rFonts w:ascii="仿宋_GB2312"/>
        </w:rPr>
      </w:pPr>
      <w:r>
        <w:rPr>
          <w:rFonts w:hint="eastAsia"/>
        </w:rPr>
        <w:t>以信用监管为核心的新型监管模式全面建立</w:t>
      </w:r>
      <w:r>
        <w:rPr>
          <w:rFonts w:hint="eastAsia" w:ascii="仿宋_GB2312"/>
        </w:rPr>
        <w:t>。</w:t>
      </w:r>
      <w:r>
        <w:rPr>
          <w:rFonts w:hint="eastAsia"/>
        </w:rPr>
        <w:t>综合行政执法改革持续深化，执法力量向基层倾斜，执法资源配置合理，执法职能相对集中</w:t>
      </w:r>
      <w:r>
        <w:rPr>
          <w:rFonts w:hint="eastAsia" w:ascii="仿宋_GB2312"/>
        </w:rPr>
        <w:t>。</w:t>
      </w:r>
      <w:r>
        <w:rPr>
          <w:rFonts w:hint="eastAsia"/>
        </w:rPr>
        <w:t>市场监管统筹协调机制更加完善，跨部门跨层级联动执法响应机制更加健全</w:t>
      </w:r>
      <w:r>
        <w:rPr>
          <w:rFonts w:hint="eastAsia" w:ascii="仿宋_GB2312"/>
        </w:rPr>
        <w:t>。</w:t>
      </w:r>
    </w:p>
    <w:tbl>
      <w:tblPr>
        <w:tblStyle w:val="21"/>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133"/>
        <w:gridCol w:w="7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855" w:type="dxa"/>
            <w:gridSpan w:val="3"/>
            <w:tcBorders>
              <w:top w:val="nil"/>
              <w:left w:val="nil"/>
              <w:right w:val="nil"/>
            </w:tcBorders>
            <w:tcMar>
              <w:left w:w="0" w:type="dxa"/>
              <w:right w:w="0" w:type="dxa"/>
            </w:tcMar>
            <w:vAlign w:val="center"/>
          </w:tcPr>
          <w:p>
            <w:pPr>
              <w:spacing w:line="404" w:lineRule="exact"/>
              <w:ind w:firstLine="0" w:firstLineChars="0"/>
              <w:jc w:val="center"/>
              <w:rPr>
                <w:rFonts w:ascii="黑体" w:hAnsi="黑体" w:eastAsia="黑体"/>
                <w:bCs/>
                <w:kern w:val="0"/>
                <w:szCs w:val="32"/>
              </w:rPr>
            </w:pPr>
            <w:r>
              <w:rPr>
                <w:rFonts w:ascii="黑体" w:hAnsi="黑体" w:eastAsia="黑体"/>
                <w:bCs/>
                <w:kern w:val="0"/>
                <w:sz w:val="28"/>
                <w:szCs w:val="28"/>
              </w:rPr>
              <w:t>沈阳市“十四五”时期市场监管发展主要指标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dxa"/>
            <w:tcMar>
              <w:left w:w="0" w:type="dxa"/>
              <w:right w:w="0" w:type="dxa"/>
            </w:tcMar>
            <w:vAlign w:val="center"/>
          </w:tcPr>
          <w:p>
            <w:pPr>
              <w:spacing w:line="380" w:lineRule="exact"/>
              <w:ind w:firstLine="0" w:firstLineChars="0"/>
              <w:jc w:val="center"/>
              <w:rPr>
                <w:rFonts w:ascii="仿宋_GB2312" w:hAnsi="黑体"/>
                <w:b/>
                <w:kern w:val="0"/>
                <w:sz w:val="28"/>
                <w:szCs w:val="28"/>
              </w:rPr>
            </w:pPr>
            <w:r>
              <w:rPr>
                <w:rFonts w:hint="eastAsia" w:ascii="仿宋_GB2312" w:hAnsi="黑体"/>
                <w:b/>
                <w:kern w:val="0"/>
                <w:sz w:val="28"/>
                <w:szCs w:val="28"/>
              </w:rPr>
              <w:t>序号</w:t>
            </w:r>
          </w:p>
        </w:tc>
        <w:tc>
          <w:tcPr>
            <w:tcW w:w="1133" w:type="dxa"/>
            <w:tcMar>
              <w:left w:w="0" w:type="dxa"/>
              <w:right w:w="0" w:type="dxa"/>
            </w:tcMar>
            <w:vAlign w:val="center"/>
          </w:tcPr>
          <w:p>
            <w:pPr>
              <w:spacing w:line="380" w:lineRule="exact"/>
              <w:ind w:firstLine="0" w:firstLineChars="0"/>
              <w:jc w:val="center"/>
              <w:rPr>
                <w:rFonts w:ascii="仿宋_GB2312" w:hAnsi="黑体"/>
                <w:b/>
                <w:kern w:val="0"/>
                <w:sz w:val="28"/>
                <w:szCs w:val="28"/>
              </w:rPr>
            </w:pPr>
            <w:r>
              <w:rPr>
                <w:rFonts w:hint="eastAsia" w:ascii="仿宋_GB2312" w:hAnsi="黑体"/>
                <w:b/>
                <w:kern w:val="0"/>
                <w:sz w:val="28"/>
                <w:szCs w:val="28"/>
              </w:rPr>
              <w:t>规划领域</w:t>
            </w:r>
          </w:p>
        </w:tc>
        <w:tc>
          <w:tcPr>
            <w:tcW w:w="7158" w:type="dxa"/>
            <w:tcMar>
              <w:left w:w="0" w:type="dxa"/>
              <w:right w:w="0" w:type="dxa"/>
            </w:tcMar>
            <w:vAlign w:val="center"/>
          </w:tcPr>
          <w:p>
            <w:pPr>
              <w:spacing w:line="380" w:lineRule="exact"/>
              <w:ind w:firstLine="0" w:firstLineChars="0"/>
              <w:jc w:val="center"/>
              <w:rPr>
                <w:rFonts w:ascii="仿宋_GB2312" w:hAnsi="黑体"/>
                <w:b/>
                <w:kern w:val="0"/>
                <w:sz w:val="28"/>
                <w:szCs w:val="28"/>
              </w:rPr>
            </w:pPr>
            <w:r>
              <w:rPr>
                <w:rFonts w:hint="eastAsia" w:ascii="仿宋_GB2312" w:hAnsi="黑体"/>
                <w:b/>
                <w:kern w:val="0"/>
                <w:sz w:val="28"/>
                <w:szCs w:val="28"/>
              </w:rPr>
              <w:t>量化发展目标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4" w:type="dxa"/>
            <w:tcMar>
              <w:left w:w="0" w:type="dxa"/>
              <w:right w:w="0" w:type="dxa"/>
            </w:tcMar>
            <w:vAlign w:val="center"/>
          </w:tcPr>
          <w:p>
            <w:pPr>
              <w:spacing w:line="380" w:lineRule="exact"/>
              <w:ind w:firstLine="0" w:firstLineChars="0"/>
              <w:jc w:val="center"/>
              <w:rPr>
                <w:kern w:val="0"/>
                <w:sz w:val="28"/>
                <w:szCs w:val="28"/>
              </w:rPr>
            </w:pPr>
            <w:r>
              <w:rPr>
                <w:kern w:val="0"/>
                <w:sz w:val="28"/>
                <w:szCs w:val="28"/>
              </w:rPr>
              <w:t>1</w:t>
            </w:r>
          </w:p>
        </w:tc>
        <w:tc>
          <w:tcPr>
            <w:tcW w:w="1133" w:type="dxa"/>
            <w:tcMar>
              <w:left w:w="0" w:type="dxa"/>
              <w:right w:w="0" w:type="dxa"/>
            </w:tcMar>
            <w:vAlign w:val="center"/>
          </w:tcPr>
          <w:p>
            <w:pPr>
              <w:spacing w:line="380" w:lineRule="exact"/>
              <w:ind w:firstLine="0" w:firstLineChars="0"/>
              <w:jc w:val="center"/>
              <w:rPr>
                <w:kern w:val="0"/>
                <w:sz w:val="28"/>
                <w:szCs w:val="28"/>
              </w:rPr>
            </w:pPr>
            <w:r>
              <w:rPr>
                <w:kern w:val="0"/>
                <w:sz w:val="28"/>
                <w:szCs w:val="28"/>
              </w:rPr>
              <w:t>登记注册</w:t>
            </w:r>
          </w:p>
        </w:tc>
        <w:tc>
          <w:tcPr>
            <w:tcW w:w="7158" w:type="dxa"/>
            <w:tcMar>
              <w:left w:w="0" w:type="dxa"/>
              <w:right w:w="0" w:type="dxa"/>
            </w:tcMar>
            <w:vAlign w:val="center"/>
          </w:tcPr>
          <w:p>
            <w:pPr>
              <w:spacing w:line="380" w:lineRule="exact"/>
              <w:ind w:firstLine="552"/>
              <w:rPr>
                <w:kern w:val="0"/>
                <w:sz w:val="28"/>
                <w:szCs w:val="28"/>
              </w:rPr>
            </w:pPr>
            <w:r>
              <w:rPr>
                <w:kern w:val="0"/>
                <w:sz w:val="28"/>
                <w:szCs w:val="28"/>
              </w:rPr>
              <w:t>一般性企业开办时间压缩至0.5个工作日以内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4" w:type="dxa"/>
            <w:tcMar>
              <w:left w:w="0" w:type="dxa"/>
              <w:right w:w="0" w:type="dxa"/>
            </w:tcMar>
            <w:vAlign w:val="center"/>
          </w:tcPr>
          <w:p>
            <w:pPr>
              <w:spacing w:line="380" w:lineRule="exact"/>
              <w:ind w:firstLine="0" w:firstLineChars="0"/>
              <w:jc w:val="center"/>
              <w:rPr>
                <w:kern w:val="0"/>
                <w:sz w:val="28"/>
                <w:szCs w:val="28"/>
              </w:rPr>
            </w:pPr>
            <w:r>
              <w:rPr>
                <w:kern w:val="0"/>
                <w:sz w:val="28"/>
                <w:szCs w:val="28"/>
              </w:rPr>
              <w:t>2</w:t>
            </w:r>
          </w:p>
        </w:tc>
        <w:tc>
          <w:tcPr>
            <w:tcW w:w="1133" w:type="dxa"/>
            <w:tcMar>
              <w:left w:w="0" w:type="dxa"/>
              <w:right w:w="0" w:type="dxa"/>
            </w:tcMar>
            <w:vAlign w:val="center"/>
          </w:tcPr>
          <w:p>
            <w:pPr>
              <w:spacing w:line="380" w:lineRule="exact"/>
              <w:ind w:firstLine="0" w:firstLineChars="0"/>
              <w:jc w:val="center"/>
              <w:rPr>
                <w:kern w:val="0"/>
                <w:sz w:val="28"/>
                <w:szCs w:val="28"/>
              </w:rPr>
            </w:pPr>
            <w:r>
              <w:rPr>
                <w:kern w:val="0"/>
                <w:sz w:val="28"/>
                <w:szCs w:val="28"/>
              </w:rPr>
              <w:t>登记注册</w:t>
            </w:r>
          </w:p>
        </w:tc>
        <w:tc>
          <w:tcPr>
            <w:tcW w:w="7158" w:type="dxa"/>
            <w:tcMar>
              <w:left w:w="0" w:type="dxa"/>
              <w:right w:w="0" w:type="dxa"/>
            </w:tcMar>
            <w:vAlign w:val="center"/>
          </w:tcPr>
          <w:p>
            <w:pPr>
              <w:spacing w:line="380" w:lineRule="exact"/>
              <w:ind w:firstLine="552"/>
              <w:rPr>
                <w:kern w:val="0"/>
                <w:sz w:val="28"/>
                <w:szCs w:val="28"/>
              </w:rPr>
            </w:pPr>
            <w:r>
              <w:rPr>
                <w:rFonts w:hint="eastAsia"/>
                <w:kern w:val="0"/>
                <w:sz w:val="28"/>
                <w:szCs w:val="28"/>
              </w:rPr>
              <w:t>力争到</w:t>
            </w:r>
            <w:r>
              <w:rPr>
                <w:kern w:val="0"/>
                <w:sz w:val="28"/>
                <w:szCs w:val="28"/>
              </w:rPr>
              <w:t>2024</w:t>
            </w:r>
            <w:r>
              <w:rPr>
                <w:rFonts w:hint="eastAsia"/>
                <w:kern w:val="0"/>
                <w:sz w:val="28"/>
                <w:szCs w:val="28"/>
              </w:rPr>
              <w:t>年底，全市市场主体数量达到</w:t>
            </w:r>
            <w:r>
              <w:rPr>
                <w:kern w:val="0"/>
                <w:sz w:val="28"/>
                <w:szCs w:val="28"/>
              </w:rPr>
              <w:t>160</w:t>
            </w:r>
            <w:r>
              <w:rPr>
                <w:rFonts w:hint="eastAsia"/>
                <w:kern w:val="0"/>
                <w:sz w:val="28"/>
                <w:szCs w:val="28"/>
              </w:rPr>
              <w:t>万户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4" w:type="dxa"/>
            <w:tcBorders>
              <w:bottom w:val="single" w:color="auto" w:sz="4" w:space="0"/>
            </w:tcBorders>
            <w:tcMar>
              <w:left w:w="0" w:type="dxa"/>
              <w:right w:w="0" w:type="dxa"/>
            </w:tcMar>
            <w:vAlign w:val="center"/>
          </w:tcPr>
          <w:p>
            <w:pPr>
              <w:spacing w:line="380" w:lineRule="exact"/>
              <w:ind w:firstLine="0" w:firstLineChars="0"/>
              <w:jc w:val="center"/>
              <w:rPr>
                <w:kern w:val="0"/>
                <w:sz w:val="28"/>
                <w:szCs w:val="28"/>
              </w:rPr>
            </w:pPr>
            <w:r>
              <w:rPr>
                <w:kern w:val="0"/>
                <w:sz w:val="28"/>
                <w:szCs w:val="28"/>
              </w:rPr>
              <w:t>3</w:t>
            </w:r>
          </w:p>
        </w:tc>
        <w:tc>
          <w:tcPr>
            <w:tcW w:w="1133" w:type="dxa"/>
            <w:tcBorders>
              <w:bottom w:val="single" w:color="auto" w:sz="4" w:space="0"/>
            </w:tcBorders>
            <w:tcMar>
              <w:left w:w="0" w:type="dxa"/>
              <w:right w:w="0" w:type="dxa"/>
            </w:tcMar>
            <w:vAlign w:val="center"/>
          </w:tcPr>
          <w:p>
            <w:pPr>
              <w:spacing w:line="380" w:lineRule="exact"/>
              <w:ind w:firstLine="0" w:firstLineChars="0"/>
              <w:jc w:val="center"/>
              <w:rPr>
                <w:kern w:val="0"/>
                <w:sz w:val="28"/>
                <w:szCs w:val="28"/>
              </w:rPr>
            </w:pPr>
            <w:r>
              <w:rPr>
                <w:kern w:val="0"/>
                <w:sz w:val="28"/>
                <w:szCs w:val="28"/>
              </w:rPr>
              <w:t>食品安全监管</w:t>
            </w:r>
          </w:p>
        </w:tc>
        <w:tc>
          <w:tcPr>
            <w:tcW w:w="7158" w:type="dxa"/>
            <w:tcMar>
              <w:left w:w="0" w:type="dxa"/>
              <w:right w:w="0" w:type="dxa"/>
            </w:tcMar>
            <w:vAlign w:val="center"/>
          </w:tcPr>
          <w:p>
            <w:pPr>
              <w:spacing w:line="380" w:lineRule="exact"/>
              <w:ind w:firstLine="552"/>
              <w:rPr>
                <w:kern w:val="0"/>
                <w:sz w:val="28"/>
                <w:szCs w:val="28"/>
              </w:rPr>
            </w:pPr>
            <w:r>
              <w:rPr>
                <w:kern w:val="0"/>
                <w:sz w:val="28"/>
                <w:szCs w:val="28"/>
              </w:rPr>
              <w:t>食品（特殊食品）生产企业自查报告率达到100％；以大型商超、药房、保健食品专营店和孕婴店为主体的保健食品经营企业2021年企业诚信自律经营率达到10％；每年递增10％，2025年底全市达到50％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tcMar>
              <w:left w:w="0" w:type="dxa"/>
              <w:right w:w="0" w:type="dxa"/>
            </w:tcMar>
            <w:vAlign w:val="center"/>
          </w:tcPr>
          <w:p>
            <w:pPr>
              <w:spacing w:line="380" w:lineRule="exact"/>
              <w:ind w:firstLine="0" w:firstLineChars="0"/>
              <w:jc w:val="center"/>
              <w:rPr>
                <w:kern w:val="0"/>
                <w:sz w:val="28"/>
                <w:szCs w:val="28"/>
              </w:rPr>
            </w:pPr>
            <w:r>
              <w:rPr>
                <w:kern w:val="0"/>
                <w:sz w:val="28"/>
                <w:szCs w:val="28"/>
              </w:rPr>
              <w:t>4</w:t>
            </w:r>
          </w:p>
        </w:tc>
        <w:tc>
          <w:tcPr>
            <w:tcW w:w="1133" w:type="dxa"/>
            <w:tcMar>
              <w:left w:w="0" w:type="dxa"/>
              <w:right w:w="0" w:type="dxa"/>
            </w:tcMar>
            <w:vAlign w:val="center"/>
          </w:tcPr>
          <w:p>
            <w:pPr>
              <w:spacing w:line="380" w:lineRule="exact"/>
              <w:ind w:firstLine="0" w:firstLineChars="0"/>
              <w:jc w:val="center"/>
              <w:rPr>
                <w:kern w:val="0"/>
                <w:sz w:val="28"/>
                <w:szCs w:val="28"/>
              </w:rPr>
            </w:pPr>
            <w:r>
              <w:rPr>
                <w:kern w:val="0"/>
                <w:sz w:val="28"/>
                <w:szCs w:val="28"/>
              </w:rPr>
              <w:t>食品安全监管</w:t>
            </w:r>
          </w:p>
        </w:tc>
        <w:tc>
          <w:tcPr>
            <w:tcW w:w="7158" w:type="dxa"/>
            <w:tcMar>
              <w:left w:w="0" w:type="dxa"/>
              <w:right w:w="0" w:type="dxa"/>
            </w:tcMar>
            <w:vAlign w:val="center"/>
          </w:tcPr>
          <w:p>
            <w:pPr>
              <w:spacing w:line="380" w:lineRule="exact"/>
              <w:ind w:firstLine="552"/>
              <w:rPr>
                <w:kern w:val="0"/>
                <w:sz w:val="28"/>
                <w:szCs w:val="28"/>
              </w:rPr>
            </w:pPr>
            <w:r>
              <w:rPr>
                <w:kern w:val="0"/>
                <w:sz w:val="28"/>
                <w:szCs w:val="28"/>
              </w:rPr>
              <w:t>规模以上社会餐饮服务单位、中央厨房、集体用餐配送单位“互联网+明厨亮灶”达到100％；通过HACCP或ISO22000体系认证的学生集体用餐配送单位达到100％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tcMar>
              <w:left w:w="0" w:type="dxa"/>
              <w:right w:w="0" w:type="dxa"/>
            </w:tcMar>
            <w:vAlign w:val="center"/>
          </w:tcPr>
          <w:p>
            <w:pPr>
              <w:spacing w:line="380" w:lineRule="exact"/>
              <w:ind w:firstLine="0" w:firstLineChars="0"/>
              <w:jc w:val="center"/>
              <w:rPr>
                <w:kern w:val="0"/>
                <w:sz w:val="28"/>
                <w:szCs w:val="28"/>
              </w:rPr>
            </w:pPr>
            <w:r>
              <w:rPr>
                <w:kern w:val="0"/>
                <w:sz w:val="28"/>
                <w:szCs w:val="28"/>
              </w:rPr>
              <w:t>5</w:t>
            </w:r>
          </w:p>
        </w:tc>
        <w:tc>
          <w:tcPr>
            <w:tcW w:w="1133" w:type="dxa"/>
            <w:tcMar>
              <w:left w:w="0" w:type="dxa"/>
              <w:right w:w="0" w:type="dxa"/>
            </w:tcMar>
            <w:vAlign w:val="center"/>
          </w:tcPr>
          <w:p>
            <w:pPr>
              <w:spacing w:line="380" w:lineRule="exact"/>
              <w:ind w:firstLine="0" w:firstLineChars="0"/>
              <w:jc w:val="center"/>
              <w:rPr>
                <w:kern w:val="0"/>
                <w:sz w:val="28"/>
                <w:szCs w:val="28"/>
              </w:rPr>
            </w:pPr>
            <w:r>
              <w:rPr>
                <w:kern w:val="0"/>
                <w:sz w:val="28"/>
                <w:szCs w:val="28"/>
              </w:rPr>
              <w:t>食品安全监管</w:t>
            </w:r>
          </w:p>
        </w:tc>
        <w:tc>
          <w:tcPr>
            <w:tcW w:w="7158" w:type="dxa"/>
            <w:tcMar>
              <w:left w:w="0" w:type="dxa"/>
              <w:right w:w="0" w:type="dxa"/>
            </w:tcMar>
            <w:vAlign w:val="center"/>
          </w:tcPr>
          <w:p>
            <w:pPr>
              <w:spacing w:line="380" w:lineRule="exact"/>
              <w:ind w:firstLine="552"/>
              <w:rPr>
                <w:kern w:val="0"/>
                <w:sz w:val="28"/>
                <w:szCs w:val="28"/>
              </w:rPr>
            </w:pPr>
            <w:r>
              <w:rPr>
                <w:rFonts w:hint="eastAsia"/>
                <w:kern w:val="0"/>
                <w:sz w:val="28"/>
                <w:szCs w:val="28"/>
              </w:rPr>
              <w:t>全市</w:t>
            </w:r>
            <w:r>
              <w:rPr>
                <w:kern w:val="0"/>
                <w:sz w:val="28"/>
                <w:szCs w:val="28"/>
              </w:rPr>
              <w:t>食品抽检监测量达到4批次/千人；食品评价性抽检合格率达到98</w:t>
            </w:r>
            <w:r>
              <w:rPr>
                <w:rFonts w:hint="eastAsia"/>
                <w:kern w:val="0"/>
                <w:sz w:val="28"/>
                <w:szCs w:val="28"/>
              </w:rPr>
              <w:t>％</w:t>
            </w:r>
            <w:r>
              <w:rPr>
                <w:kern w:val="0"/>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tcMar>
              <w:left w:w="0" w:type="dxa"/>
              <w:right w:w="0" w:type="dxa"/>
            </w:tcMar>
            <w:vAlign w:val="center"/>
          </w:tcPr>
          <w:p>
            <w:pPr>
              <w:spacing w:line="380" w:lineRule="exact"/>
              <w:ind w:firstLine="0" w:firstLineChars="0"/>
              <w:jc w:val="center"/>
              <w:rPr>
                <w:kern w:val="0"/>
                <w:sz w:val="28"/>
                <w:szCs w:val="28"/>
              </w:rPr>
            </w:pPr>
            <w:r>
              <w:rPr>
                <w:kern w:val="0"/>
                <w:sz w:val="28"/>
                <w:szCs w:val="28"/>
              </w:rPr>
              <w:t>6</w:t>
            </w:r>
          </w:p>
        </w:tc>
        <w:tc>
          <w:tcPr>
            <w:tcW w:w="1133"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rPr>
              <w:t>药品安全监管</w:t>
            </w:r>
          </w:p>
        </w:tc>
        <w:tc>
          <w:tcPr>
            <w:tcW w:w="7158" w:type="dxa"/>
            <w:tcMar>
              <w:left w:w="0" w:type="dxa"/>
              <w:right w:w="0" w:type="dxa"/>
            </w:tcMar>
            <w:vAlign w:val="center"/>
          </w:tcPr>
          <w:p>
            <w:pPr>
              <w:spacing w:line="380" w:lineRule="exact"/>
              <w:ind w:firstLine="552"/>
              <w:rPr>
                <w:kern w:val="0"/>
                <w:sz w:val="28"/>
                <w:szCs w:val="28"/>
                <w:lang w:bidi="en-US"/>
              </w:rPr>
            </w:pPr>
            <w:r>
              <w:rPr>
                <w:kern w:val="0"/>
                <w:sz w:val="28"/>
                <w:szCs w:val="28"/>
                <w:lang w:bidi="en-US"/>
              </w:rPr>
              <w:t>监督检查发现违法违规行为查处率达到100％，监督抽检不合格</w:t>
            </w:r>
            <w:r>
              <w:rPr>
                <w:rFonts w:hint="eastAsia"/>
                <w:kern w:val="0"/>
                <w:sz w:val="28"/>
                <w:szCs w:val="28"/>
                <w:lang w:bidi="en-US"/>
              </w:rPr>
              <w:t>药</w:t>
            </w:r>
            <w:r>
              <w:rPr>
                <w:kern w:val="0"/>
                <w:sz w:val="28"/>
                <w:szCs w:val="28"/>
                <w:lang w:bidi="en-US"/>
              </w:rPr>
              <w:t>品查处率达到100％，群众投诉举报问题处置率达到100％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7</w:t>
            </w:r>
          </w:p>
        </w:tc>
        <w:tc>
          <w:tcPr>
            <w:tcW w:w="1133"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特种设备监察</w:t>
            </w:r>
          </w:p>
        </w:tc>
        <w:tc>
          <w:tcPr>
            <w:tcW w:w="7158" w:type="dxa"/>
            <w:tcMar>
              <w:left w:w="0" w:type="dxa"/>
              <w:right w:w="0" w:type="dxa"/>
            </w:tcMar>
            <w:vAlign w:val="center"/>
          </w:tcPr>
          <w:p>
            <w:pPr>
              <w:spacing w:line="380" w:lineRule="exact"/>
              <w:ind w:firstLine="552"/>
              <w:rPr>
                <w:kern w:val="0"/>
                <w:sz w:val="28"/>
                <w:szCs w:val="28"/>
                <w:lang w:bidi="en-US"/>
              </w:rPr>
            </w:pPr>
            <w:r>
              <w:rPr>
                <w:kern w:val="0"/>
                <w:sz w:val="28"/>
                <w:szCs w:val="28"/>
                <w:lang w:bidi="en-US"/>
              </w:rPr>
              <w:t>万台特种设备死亡人数控制在0.23以下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8</w:t>
            </w:r>
          </w:p>
        </w:tc>
        <w:tc>
          <w:tcPr>
            <w:tcW w:w="1133"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产品质量监管</w:t>
            </w:r>
          </w:p>
        </w:tc>
        <w:tc>
          <w:tcPr>
            <w:tcW w:w="7158" w:type="dxa"/>
            <w:tcMar>
              <w:left w:w="0" w:type="dxa"/>
              <w:right w:w="0" w:type="dxa"/>
            </w:tcMar>
            <w:vAlign w:val="center"/>
          </w:tcPr>
          <w:p>
            <w:pPr>
              <w:spacing w:line="380" w:lineRule="exact"/>
              <w:ind w:firstLine="552"/>
              <w:rPr>
                <w:kern w:val="0"/>
                <w:sz w:val="28"/>
                <w:szCs w:val="28"/>
                <w:lang w:bidi="en-US"/>
              </w:rPr>
            </w:pPr>
            <w:r>
              <w:rPr>
                <w:kern w:val="0"/>
                <w:sz w:val="28"/>
                <w:szCs w:val="28"/>
                <w:lang w:bidi="en-US"/>
              </w:rPr>
              <w:t>每年产品质量监督抽查不少于2000批次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4"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9</w:t>
            </w:r>
          </w:p>
        </w:tc>
        <w:tc>
          <w:tcPr>
            <w:tcW w:w="1133"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知识产权</w:t>
            </w:r>
          </w:p>
        </w:tc>
        <w:tc>
          <w:tcPr>
            <w:tcW w:w="7158" w:type="dxa"/>
            <w:tcMar>
              <w:left w:w="0" w:type="dxa"/>
              <w:right w:w="0" w:type="dxa"/>
            </w:tcMar>
            <w:vAlign w:val="center"/>
          </w:tcPr>
          <w:p>
            <w:pPr>
              <w:spacing w:line="380" w:lineRule="exact"/>
              <w:ind w:firstLine="552"/>
              <w:rPr>
                <w:kern w:val="0"/>
                <w:sz w:val="28"/>
                <w:szCs w:val="28"/>
                <w:lang w:bidi="en-US"/>
              </w:rPr>
            </w:pPr>
            <w:r>
              <w:rPr>
                <w:kern w:val="0"/>
                <w:sz w:val="28"/>
                <w:szCs w:val="28"/>
                <w:lang w:bidi="en-US"/>
              </w:rPr>
              <w:t>每万人口高价值发明专利拥有量</w:t>
            </w:r>
            <w:r>
              <w:rPr>
                <w:rFonts w:hint="eastAsia" w:ascii="仿宋_GB2312"/>
                <w:kern w:val="0"/>
                <w:sz w:val="28"/>
                <w:szCs w:val="28"/>
                <w:lang w:bidi="en-US"/>
              </w:rPr>
              <w:t>高于全省平均水平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4" w:type="dxa"/>
            <w:tcMar>
              <w:left w:w="0" w:type="dxa"/>
              <w:right w:w="0" w:type="dxa"/>
            </w:tcMar>
            <w:vAlign w:val="center"/>
          </w:tcPr>
          <w:p>
            <w:pPr>
              <w:spacing w:line="380" w:lineRule="exact"/>
              <w:ind w:firstLine="0" w:firstLineChars="0"/>
              <w:jc w:val="center"/>
              <w:rPr>
                <w:bCs/>
                <w:kern w:val="0"/>
                <w:sz w:val="28"/>
                <w:szCs w:val="28"/>
                <w:lang w:bidi="en-US"/>
              </w:rPr>
            </w:pPr>
            <w:r>
              <w:rPr>
                <w:kern w:val="0"/>
                <w:sz w:val="28"/>
                <w:szCs w:val="28"/>
                <w:lang w:bidi="en-US"/>
              </w:rPr>
              <w:t>10</w:t>
            </w:r>
          </w:p>
        </w:tc>
        <w:tc>
          <w:tcPr>
            <w:tcW w:w="1133"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知识产权</w:t>
            </w:r>
          </w:p>
        </w:tc>
        <w:tc>
          <w:tcPr>
            <w:tcW w:w="7158" w:type="dxa"/>
            <w:tcMar>
              <w:left w:w="0" w:type="dxa"/>
              <w:right w:w="0" w:type="dxa"/>
            </w:tcMar>
            <w:vAlign w:val="center"/>
          </w:tcPr>
          <w:p>
            <w:pPr>
              <w:spacing w:line="380" w:lineRule="exact"/>
              <w:ind w:firstLine="552"/>
              <w:rPr>
                <w:kern w:val="0"/>
                <w:sz w:val="28"/>
                <w:szCs w:val="28"/>
                <w:lang w:bidi="en-US"/>
              </w:rPr>
            </w:pPr>
            <w:r>
              <w:rPr>
                <w:kern w:val="0"/>
                <w:sz w:val="28"/>
                <w:szCs w:val="28"/>
                <w:lang w:bidi="en-US"/>
              </w:rPr>
              <w:t>2023</w:t>
            </w:r>
            <w:r>
              <w:rPr>
                <w:rFonts w:hint="eastAsia"/>
                <w:kern w:val="0"/>
                <w:sz w:val="28"/>
                <w:szCs w:val="28"/>
                <w:lang w:bidi="en-US"/>
              </w:rPr>
              <w:t>年底前，开展产业规划类专利导航</w:t>
            </w:r>
            <w:r>
              <w:rPr>
                <w:kern w:val="0"/>
                <w:sz w:val="28"/>
                <w:szCs w:val="28"/>
                <w:lang w:bidi="en-US"/>
              </w:rPr>
              <w:t>6</w:t>
            </w:r>
            <w:r>
              <w:rPr>
                <w:rFonts w:hint="eastAsia"/>
                <w:kern w:val="0"/>
                <w:sz w:val="28"/>
                <w:szCs w:val="28"/>
                <w:lang w:bidi="en-US"/>
              </w:rPr>
              <w:t>项，企业运营类导航</w:t>
            </w:r>
            <w:r>
              <w:rPr>
                <w:kern w:val="0"/>
                <w:sz w:val="28"/>
                <w:szCs w:val="28"/>
                <w:lang w:bidi="en-US"/>
              </w:rPr>
              <w:t>11</w:t>
            </w:r>
            <w:r>
              <w:rPr>
                <w:rFonts w:hint="eastAsia"/>
                <w:kern w:val="0"/>
                <w:sz w:val="28"/>
                <w:szCs w:val="28"/>
                <w:lang w:bidi="en-US"/>
              </w:rPr>
              <w:t>项。推动组建</w:t>
            </w:r>
            <w:r>
              <w:rPr>
                <w:kern w:val="0"/>
                <w:sz w:val="28"/>
                <w:szCs w:val="28"/>
                <w:lang w:bidi="en-US"/>
              </w:rPr>
              <w:t>5</w:t>
            </w:r>
            <w:r>
              <w:rPr>
                <w:rFonts w:hint="eastAsia"/>
                <w:kern w:val="0"/>
                <w:sz w:val="28"/>
                <w:szCs w:val="28"/>
                <w:lang w:bidi="en-US"/>
              </w:rPr>
              <w:t>家以上产业知识产权联盟。省级以上知识产权优势企业达到</w:t>
            </w:r>
            <w:r>
              <w:rPr>
                <w:kern w:val="0"/>
                <w:sz w:val="28"/>
                <w:szCs w:val="28"/>
                <w:lang w:bidi="en-US"/>
              </w:rPr>
              <w:t>100</w:t>
            </w:r>
            <w:r>
              <w:rPr>
                <w:rFonts w:hint="eastAsia"/>
                <w:kern w:val="0"/>
                <w:sz w:val="28"/>
                <w:szCs w:val="28"/>
                <w:lang w:bidi="en-US"/>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tcMar>
              <w:left w:w="0" w:type="dxa"/>
              <w:right w:w="0" w:type="dxa"/>
            </w:tcMar>
            <w:vAlign w:val="center"/>
          </w:tcPr>
          <w:p>
            <w:pPr>
              <w:spacing w:line="380" w:lineRule="exact"/>
              <w:ind w:firstLine="0" w:firstLineChars="0"/>
              <w:jc w:val="center"/>
              <w:rPr>
                <w:bCs/>
                <w:kern w:val="0"/>
                <w:sz w:val="28"/>
                <w:szCs w:val="28"/>
                <w:lang w:bidi="en-US"/>
              </w:rPr>
            </w:pPr>
            <w:r>
              <w:rPr>
                <w:kern w:val="0"/>
                <w:sz w:val="28"/>
                <w:szCs w:val="28"/>
                <w:lang w:bidi="en-US"/>
              </w:rPr>
              <w:t>11</w:t>
            </w:r>
          </w:p>
        </w:tc>
        <w:tc>
          <w:tcPr>
            <w:tcW w:w="1133"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投诉举报</w:t>
            </w:r>
          </w:p>
        </w:tc>
        <w:tc>
          <w:tcPr>
            <w:tcW w:w="7158" w:type="dxa"/>
            <w:tcMar>
              <w:left w:w="0" w:type="dxa"/>
              <w:right w:w="0" w:type="dxa"/>
            </w:tcMar>
            <w:vAlign w:val="center"/>
          </w:tcPr>
          <w:p>
            <w:pPr>
              <w:spacing w:line="380" w:lineRule="exact"/>
              <w:ind w:firstLine="552"/>
              <w:rPr>
                <w:kern w:val="0"/>
                <w:sz w:val="28"/>
                <w:szCs w:val="28"/>
                <w:lang w:bidi="en-US"/>
              </w:rPr>
            </w:pPr>
            <w:r>
              <w:rPr>
                <w:rFonts w:hint="eastAsia"/>
                <w:kern w:val="0"/>
                <w:sz w:val="28"/>
                <w:szCs w:val="28"/>
                <w:lang w:bidi="en-US"/>
              </w:rPr>
              <w:t>消费投诉按时办结率达到</w:t>
            </w:r>
            <w:r>
              <w:rPr>
                <w:kern w:val="0"/>
                <w:sz w:val="28"/>
                <w:szCs w:val="28"/>
                <w:lang w:bidi="en-US"/>
              </w:rPr>
              <w:t>95</w:t>
            </w:r>
            <w:r>
              <w:rPr>
                <w:rFonts w:hint="eastAsia"/>
                <w:kern w:val="0"/>
                <w:sz w:val="28"/>
                <w:szCs w:val="28"/>
                <w:lang w:bidi="en-US"/>
              </w:rPr>
              <w:t>％，举报按时核查率达到</w:t>
            </w:r>
            <w:r>
              <w:rPr>
                <w:kern w:val="0"/>
                <w:sz w:val="28"/>
                <w:szCs w:val="28"/>
                <w:lang w:bidi="en-US"/>
              </w:rPr>
              <w:t>92</w:t>
            </w:r>
            <w:r>
              <w:rPr>
                <w:rFonts w:hint="eastAsia"/>
                <w:kern w:val="0"/>
                <w:sz w:val="28"/>
                <w:szCs w:val="28"/>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tcMar>
              <w:left w:w="0" w:type="dxa"/>
              <w:right w:w="0" w:type="dxa"/>
            </w:tcMar>
            <w:vAlign w:val="center"/>
          </w:tcPr>
          <w:p>
            <w:pPr>
              <w:spacing w:line="380" w:lineRule="exact"/>
              <w:ind w:firstLine="0" w:firstLineChars="0"/>
              <w:jc w:val="center"/>
              <w:rPr>
                <w:bCs/>
                <w:kern w:val="0"/>
                <w:sz w:val="28"/>
                <w:szCs w:val="28"/>
                <w:lang w:bidi="en-US"/>
              </w:rPr>
            </w:pPr>
            <w:r>
              <w:rPr>
                <w:kern w:val="0"/>
                <w:sz w:val="28"/>
                <w:szCs w:val="28"/>
                <w:lang w:bidi="en-US"/>
              </w:rPr>
              <w:t>12</w:t>
            </w:r>
          </w:p>
        </w:tc>
        <w:tc>
          <w:tcPr>
            <w:tcW w:w="1133"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广告监管</w:t>
            </w:r>
          </w:p>
        </w:tc>
        <w:tc>
          <w:tcPr>
            <w:tcW w:w="7158" w:type="dxa"/>
            <w:tcMar>
              <w:left w:w="0" w:type="dxa"/>
              <w:right w:w="0" w:type="dxa"/>
            </w:tcMar>
            <w:vAlign w:val="center"/>
          </w:tcPr>
          <w:p>
            <w:pPr>
              <w:spacing w:line="380" w:lineRule="exact"/>
              <w:ind w:firstLine="552"/>
              <w:rPr>
                <w:kern w:val="0"/>
                <w:sz w:val="28"/>
                <w:szCs w:val="28"/>
                <w:lang w:bidi="en-US"/>
              </w:rPr>
            </w:pPr>
            <w:r>
              <w:rPr>
                <w:kern w:val="0"/>
                <w:sz w:val="28"/>
                <w:szCs w:val="28"/>
                <w:lang w:bidi="en-US"/>
              </w:rPr>
              <w:t>广告违法行为行政处罚信息公示率达到100％，将应当公示的广告监管信息记于企业名下的归集率达到100％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tcMar>
              <w:left w:w="0" w:type="dxa"/>
              <w:right w:w="0" w:type="dxa"/>
            </w:tcMar>
            <w:vAlign w:val="center"/>
          </w:tcPr>
          <w:p>
            <w:pPr>
              <w:spacing w:line="380" w:lineRule="exact"/>
              <w:ind w:firstLine="0" w:firstLineChars="0"/>
              <w:jc w:val="center"/>
              <w:rPr>
                <w:bCs/>
                <w:kern w:val="0"/>
                <w:sz w:val="28"/>
                <w:szCs w:val="28"/>
                <w:lang w:bidi="en-US"/>
              </w:rPr>
            </w:pPr>
            <w:r>
              <w:rPr>
                <w:kern w:val="0"/>
                <w:sz w:val="28"/>
                <w:szCs w:val="28"/>
                <w:lang w:bidi="en-US"/>
              </w:rPr>
              <w:t>13</w:t>
            </w:r>
          </w:p>
        </w:tc>
        <w:tc>
          <w:tcPr>
            <w:tcW w:w="1133"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广告业</w:t>
            </w:r>
            <w:r>
              <w:rPr>
                <w:kern w:val="0"/>
                <w:sz w:val="28"/>
                <w:szCs w:val="28"/>
                <w:lang w:bidi="en-US"/>
              </w:rPr>
              <w:br w:type="textWrapping"/>
            </w:r>
            <w:r>
              <w:rPr>
                <w:kern w:val="0"/>
                <w:sz w:val="28"/>
                <w:szCs w:val="28"/>
                <w:lang w:bidi="en-US"/>
              </w:rPr>
              <w:t>发展</w:t>
            </w:r>
          </w:p>
        </w:tc>
        <w:tc>
          <w:tcPr>
            <w:tcW w:w="7158" w:type="dxa"/>
            <w:tcMar>
              <w:left w:w="0" w:type="dxa"/>
              <w:right w:w="0" w:type="dxa"/>
            </w:tcMar>
            <w:vAlign w:val="center"/>
          </w:tcPr>
          <w:p>
            <w:pPr>
              <w:spacing w:line="380" w:lineRule="exact"/>
              <w:ind w:firstLine="552"/>
              <w:rPr>
                <w:kern w:val="0"/>
                <w:sz w:val="28"/>
                <w:szCs w:val="28"/>
                <w:lang w:bidi="en-US"/>
              </w:rPr>
            </w:pPr>
            <w:r>
              <w:rPr>
                <w:kern w:val="0"/>
                <w:sz w:val="28"/>
                <w:szCs w:val="28"/>
                <w:lang w:bidi="en-US"/>
              </w:rPr>
              <w:t>推动沈阳广告产业园区获批国家广告产业园区认定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tcMar>
              <w:left w:w="0" w:type="dxa"/>
              <w:right w:w="0" w:type="dxa"/>
            </w:tcMar>
            <w:vAlign w:val="center"/>
          </w:tcPr>
          <w:p>
            <w:pPr>
              <w:spacing w:line="380" w:lineRule="exact"/>
              <w:ind w:firstLine="0" w:firstLineChars="0"/>
              <w:jc w:val="center"/>
              <w:rPr>
                <w:bCs/>
                <w:kern w:val="0"/>
                <w:sz w:val="28"/>
                <w:szCs w:val="28"/>
                <w:lang w:bidi="en-US"/>
              </w:rPr>
            </w:pPr>
            <w:r>
              <w:rPr>
                <w:kern w:val="0"/>
                <w:sz w:val="28"/>
                <w:szCs w:val="28"/>
                <w:lang w:bidi="en-US"/>
              </w:rPr>
              <w:t>14</w:t>
            </w:r>
          </w:p>
        </w:tc>
        <w:tc>
          <w:tcPr>
            <w:tcW w:w="1133"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广告业</w:t>
            </w:r>
            <w:r>
              <w:rPr>
                <w:kern w:val="0"/>
                <w:sz w:val="28"/>
                <w:szCs w:val="28"/>
                <w:lang w:bidi="en-US"/>
              </w:rPr>
              <w:br w:type="textWrapping"/>
            </w:r>
            <w:r>
              <w:rPr>
                <w:kern w:val="0"/>
                <w:sz w:val="28"/>
                <w:szCs w:val="28"/>
                <w:lang w:bidi="en-US"/>
              </w:rPr>
              <w:t>发展</w:t>
            </w:r>
          </w:p>
        </w:tc>
        <w:tc>
          <w:tcPr>
            <w:tcW w:w="7158" w:type="dxa"/>
            <w:tcMar>
              <w:left w:w="0" w:type="dxa"/>
              <w:right w:w="0" w:type="dxa"/>
            </w:tcMar>
            <w:vAlign w:val="center"/>
          </w:tcPr>
          <w:p>
            <w:pPr>
              <w:spacing w:line="380" w:lineRule="exact"/>
              <w:ind w:firstLine="552"/>
              <w:rPr>
                <w:kern w:val="0"/>
                <w:sz w:val="28"/>
                <w:szCs w:val="28"/>
                <w:lang w:bidi="en-US"/>
              </w:rPr>
            </w:pPr>
            <w:r>
              <w:rPr>
                <w:rFonts w:hint="eastAsia"/>
                <w:kern w:val="0"/>
                <w:sz w:val="28"/>
                <w:szCs w:val="28"/>
                <w:lang w:bidi="en-US"/>
              </w:rPr>
              <w:t>到“十四五”末期，全市广告经营主体数量达到</w:t>
            </w:r>
            <w:r>
              <w:rPr>
                <w:kern w:val="0"/>
                <w:sz w:val="28"/>
                <w:szCs w:val="28"/>
                <w:lang w:bidi="en-US"/>
              </w:rPr>
              <w:t>0</w:t>
            </w:r>
            <w:r>
              <w:rPr>
                <w:rFonts w:hint="eastAsia"/>
                <w:kern w:val="0"/>
                <w:sz w:val="28"/>
                <w:szCs w:val="28"/>
                <w:lang w:bidi="en-US"/>
              </w:rPr>
              <w:t>.</w:t>
            </w:r>
            <w:r>
              <w:rPr>
                <w:kern w:val="0"/>
                <w:sz w:val="28"/>
                <w:szCs w:val="28"/>
                <w:lang w:bidi="en-US"/>
              </w:rPr>
              <w:t>8</w:t>
            </w:r>
            <w:r>
              <w:rPr>
                <w:rFonts w:hint="eastAsia"/>
                <w:kern w:val="0"/>
                <w:sz w:val="28"/>
                <w:szCs w:val="28"/>
                <w:lang w:bidi="en-US"/>
              </w:rPr>
              <w:t>万户，广告经营额达到</w:t>
            </w:r>
            <w:r>
              <w:rPr>
                <w:kern w:val="0"/>
                <w:sz w:val="28"/>
                <w:szCs w:val="28"/>
                <w:lang w:bidi="en-US"/>
              </w:rPr>
              <w:t>40</w:t>
            </w:r>
            <w:r>
              <w:rPr>
                <w:rFonts w:hint="eastAsia"/>
                <w:kern w:val="0"/>
                <w:sz w:val="28"/>
                <w:szCs w:val="28"/>
                <w:lang w:bidi="en-US"/>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4" w:type="dxa"/>
            <w:tcMar>
              <w:left w:w="0" w:type="dxa"/>
              <w:right w:w="0" w:type="dxa"/>
            </w:tcMar>
            <w:vAlign w:val="center"/>
          </w:tcPr>
          <w:p>
            <w:pPr>
              <w:spacing w:line="380" w:lineRule="exact"/>
              <w:ind w:firstLine="0" w:firstLineChars="0"/>
              <w:jc w:val="center"/>
              <w:rPr>
                <w:bCs/>
                <w:kern w:val="0"/>
                <w:sz w:val="28"/>
                <w:szCs w:val="28"/>
                <w:lang w:bidi="en-US"/>
              </w:rPr>
            </w:pPr>
            <w:r>
              <w:rPr>
                <w:kern w:val="0"/>
                <w:sz w:val="28"/>
                <w:szCs w:val="28"/>
                <w:lang w:bidi="en-US"/>
              </w:rPr>
              <w:t>15</w:t>
            </w:r>
          </w:p>
        </w:tc>
        <w:tc>
          <w:tcPr>
            <w:tcW w:w="1133"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质量发展</w:t>
            </w:r>
          </w:p>
        </w:tc>
        <w:tc>
          <w:tcPr>
            <w:tcW w:w="7158" w:type="dxa"/>
            <w:tcMar>
              <w:left w:w="0" w:type="dxa"/>
              <w:right w:w="0" w:type="dxa"/>
            </w:tcMar>
            <w:vAlign w:val="center"/>
          </w:tcPr>
          <w:p>
            <w:pPr>
              <w:spacing w:line="380" w:lineRule="exact"/>
              <w:ind w:firstLine="552"/>
              <w:rPr>
                <w:kern w:val="0"/>
                <w:sz w:val="28"/>
                <w:szCs w:val="28"/>
                <w:lang w:bidi="en-US"/>
              </w:rPr>
            </w:pPr>
            <w:r>
              <w:rPr>
                <w:rFonts w:hint="eastAsia"/>
                <w:kern w:val="0"/>
                <w:sz w:val="28"/>
                <w:szCs w:val="28"/>
                <w:lang w:bidi="en-US"/>
              </w:rPr>
              <w:t>全市获得省长质量奖企业达到</w:t>
            </w:r>
            <w:r>
              <w:rPr>
                <w:kern w:val="0"/>
                <w:sz w:val="28"/>
                <w:szCs w:val="28"/>
                <w:lang w:bidi="en-US"/>
              </w:rPr>
              <w:t>16</w:t>
            </w:r>
            <w:r>
              <w:rPr>
                <w:rFonts w:hint="eastAsia"/>
                <w:kern w:val="0"/>
                <w:sz w:val="28"/>
                <w:szCs w:val="28"/>
                <w:lang w:bidi="en-US"/>
              </w:rPr>
              <w:t>家，沈阳市制造业产品质量合格率达到</w:t>
            </w:r>
            <w:r>
              <w:rPr>
                <w:kern w:val="0"/>
                <w:sz w:val="28"/>
                <w:szCs w:val="28"/>
                <w:lang w:bidi="en-US"/>
              </w:rPr>
              <w:t>95</w:t>
            </w:r>
            <w:r>
              <w:rPr>
                <w:rFonts w:hint="eastAsia"/>
                <w:kern w:val="0"/>
                <w:sz w:val="28"/>
                <w:szCs w:val="28"/>
                <w:lang w:bidi="en-US"/>
              </w:rPr>
              <w:t>％以上，</w:t>
            </w:r>
            <w:r>
              <w:rPr>
                <w:kern w:val="0"/>
                <w:sz w:val="28"/>
                <w:szCs w:val="28"/>
                <w:lang w:bidi="en-US"/>
              </w:rPr>
              <w:t>全</w:t>
            </w:r>
            <w:r>
              <w:rPr>
                <w:rFonts w:hint="eastAsia"/>
                <w:kern w:val="0"/>
                <w:sz w:val="28"/>
                <w:szCs w:val="28"/>
                <w:lang w:bidi="en-US"/>
              </w:rPr>
              <w:t>市</w:t>
            </w:r>
            <w:r>
              <w:rPr>
                <w:kern w:val="0"/>
                <w:sz w:val="28"/>
                <w:szCs w:val="28"/>
                <w:lang w:bidi="en-US"/>
              </w:rPr>
              <w:t>制造业质量竞争力指数达到86</w:t>
            </w:r>
            <w:r>
              <w:rPr>
                <w:rFonts w:ascii="仿宋_GB2312"/>
                <w:kern w:val="0"/>
                <w:sz w:val="28"/>
                <w:szCs w:val="28"/>
                <w:lang w:bidi="en-US"/>
              </w:rPr>
              <w:t>.</w:t>
            </w:r>
            <w:r>
              <w:rPr>
                <w:kern w:val="0"/>
                <w:sz w:val="28"/>
                <w:szCs w:val="28"/>
                <w:lang w:bidi="en-US"/>
              </w:rPr>
              <w:t>5以上，</w:t>
            </w:r>
            <w:r>
              <w:rPr>
                <w:rFonts w:hint="eastAsia"/>
                <w:kern w:val="0"/>
                <w:sz w:val="28"/>
                <w:szCs w:val="28"/>
                <w:lang w:bidi="en-US"/>
              </w:rPr>
              <w:t>沈阳市公共服务质量满意度达到</w:t>
            </w:r>
            <w:r>
              <w:rPr>
                <w:kern w:val="0"/>
                <w:sz w:val="28"/>
                <w:szCs w:val="28"/>
                <w:lang w:bidi="en-US"/>
              </w:rPr>
              <w:t>78.5</w:t>
            </w:r>
            <w:r>
              <w:rPr>
                <w:rFonts w:hint="eastAsia"/>
                <w:kern w:val="0"/>
                <w:sz w:val="28"/>
                <w:szCs w:val="28"/>
                <w:lang w:bidi="en-US"/>
              </w:rPr>
              <w:t>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tcMar>
              <w:left w:w="0" w:type="dxa"/>
              <w:right w:w="0" w:type="dxa"/>
            </w:tcMar>
            <w:vAlign w:val="center"/>
          </w:tcPr>
          <w:p>
            <w:pPr>
              <w:spacing w:line="380" w:lineRule="exact"/>
              <w:ind w:firstLine="0" w:firstLineChars="0"/>
              <w:jc w:val="center"/>
              <w:rPr>
                <w:bCs/>
                <w:kern w:val="0"/>
                <w:sz w:val="28"/>
                <w:szCs w:val="28"/>
                <w:lang w:bidi="en-US"/>
              </w:rPr>
            </w:pPr>
            <w:r>
              <w:rPr>
                <w:kern w:val="0"/>
                <w:sz w:val="28"/>
                <w:szCs w:val="28"/>
                <w:lang w:bidi="en-US"/>
              </w:rPr>
              <w:t>16</w:t>
            </w:r>
          </w:p>
        </w:tc>
        <w:tc>
          <w:tcPr>
            <w:tcW w:w="1133"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标准</w:t>
            </w:r>
          </w:p>
        </w:tc>
        <w:tc>
          <w:tcPr>
            <w:tcW w:w="7158" w:type="dxa"/>
            <w:tcMar>
              <w:left w:w="0" w:type="dxa"/>
              <w:right w:w="0" w:type="dxa"/>
            </w:tcMar>
            <w:vAlign w:val="center"/>
          </w:tcPr>
          <w:p>
            <w:pPr>
              <w:spacing w:line="380" w:lineRule="exact"/>
              <w:ind w:firstLine="552"/>
              <w:rPr>
                <w:kern w:val="0"/>
                <w:sz w:val="28"/>
                <w:szCs w:val="28"/>
                <w:lang w:bidi="en-US"/>
              </w:rPr>
            </w:pPr>
            <w:r>
              <w:rPr>
                <w:rFonts w:hint="eastAsia"/>
                <w:kern w:val="0"/>
                <w:sz w:val="28"/>
                <w:szCs w:val="28"/>
                <w:lang w:bidi="en-US"/>
              </w:rPr>
              <w:t>新增国家标准不少于</w:t>
            </w:r>
            <w:r>
              <w:rPr>
                <w:kern w:val="0"/>
                <w:sz w:val="28"/>
                <w:szCs w:val="28"/>
                <w:lang w:bidi="en-US"/>
              </w:rPr>
              <w:t>200</w:t>
            </w:r>
            <w:r>
              <w:rPr>
                <w:rFonts w:hint="eastAsia"/>
                <w:kern w:val="0"/>
                <w:sz w:val="28"/>
                <w:szCs w:val="28"/>
                <w:lang w:bidi="en-US"/>
              </w:rPr>
              <w:t>项、地方标准不少于</w:t>
            </w:r>
            <w:r>
              <w:rPr>
                <w:kern w:val="0"/>
                <w:sz w:val="28"/>
                <w:szCs w:val="28"/>
                <w:lang w:bidi="en-US"/>
              </w:rPr>
              <w:t>100</w:t>
            </w:r>
            <w:r>
              <w:rPr>
                <w:rFonts w:hint="eastAsia"/>
                <w:kern w:val="0"/>
                <w:sz w:val="28"/>
                <w:szCs w:val="28"/>
                <w:lang w:bidi="en-US"/>
              </w:rPr>
              <w:t>项、团体标准不少于</w:t>
            </w:r>
            <w:r>
              <w:rPr>
                <w:kern w:val="0"/>
                <w:sz w:val="28"/>
                <w:szCs w:val="28"/>
                <w:lang w:bidi="en-US"/>
              </w:rPr>
              <w:t>50</w:t>
            </w:r>
            <w:r>
              <w:rPr>
                <w:rFonts w:hint="eastAsia"/>
                <w:kern w:val="0"/>
                <w:sz w:val="28"/>
                <w:szCs w:val="28"/>
                <w:lang w:bidi="en-US"/>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tcMar>
              <w:left w:w="0" w:type="dxa"/>
              <w:right w:w="0" w:type="dxa"/>
            </w:tcMar>
            <w:vAlign w:val="center"/>
          </w:tcPr>
          <w:p>
            <w:pPr>
              <w:spacing w:line="380" w:lineRule="exact"/>
              <w:ind w:firstLine="0" w:firstLineChars="0"/>
              <w:jc w:val="center"/>
              <w:rPr>
                <w:bCs/>
                <w:kern w:val="0"/>
                <w:sz w:val="28"/>
                <w:szCs w:val="28"/>
                <w:lang w:bidi="en-US"/>
              </w:rPr>
            </w:pPr>
            <w:r>
              <w:rPr>
                <w:kern w:val="0"/>
                <w:sz w:val="28"/>
                <w:szCs w:val="28"/>
                <w:lang w:bidi="en-US"/>
              </w:rPr>
              <w:t>17</w:t>
            </w:r>
          </w:p>
        </w:tc>
        <w:tc>
          <w:tcPr>
            <w:tcW w:w="1133"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计量</w:t>
            </w:r>
          </w:p>
        </w:tc>
        <w:tc>
          <w:tcPr>
            <w:tcW w:w="7158" w:type="dxa"/>
            <w:tcMar>
              <w:left w:w="0" w:type="dxa"/>
              <w:right w:w="0" w:type="dxa"/>
            </w:tcMar>
            <w:vAlign w:val="center"/>
          </w:tcPr>
          <w:p>
            <w:pPr>
              <w:spacing w:line="380" w:lineRule="exact"/>
              <w:ind w:firstLine="552"/>
              <w:rPr>
                <w:kern w:val="0"/>
                <w:sz w:val="28"/>
                <w:szCs w:val="28"/>
                <w:lang w:bidi="en-US"/>
              </w:rPr>
            </w:pPr>
            <w:r>
              <w:rPr>
                <w:kern w:val="0"/>
                <w:sz w:val="28"/>
                <w:szCs w:val="28"/>
                <w:lang w:bidi="en-US"/>
              </w:rPr>
              <w:t>新建市级社会公用计量标准30项，制修订地方计量技术规范15项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4" w:type="dxa"/>
            <w:tcMar>
              <w:left w:w="0" w:type="dxa"/>
              <w:right w:w="0" w:type="dxa"/>
            </w:tcMar>
            <w:vAlign w:val="center"/>
          </w:tcPr>
          <w:p>
            <w:pPr>
              <w:spacing w:line="380" w:lineRule="exact"/>
              <w:ind w:firstLine="0" w:firstLineChars="0"/>
              <w:jc w:val="center"/>
              <w:rPr>
                <w:bCs/>
                <w:kern w:val="0"/>
                <w:sz w:val="28"/>
                <w:szCs w:val="28"/>
                <w:lang w:bidi="en-US"/>
              </w:rPr>
            </w:pPr>
            <w:r>
              <w:rPr>
                <w:kern w:val="0"/>
                <w:sz w:val="28"/>
                <w:szCs w:val="28"/>
                <w:lang w:bidi="en-US"/>
              </w:rPr>
              <w:t>18</w:t>
            </w:r>
          </w:p>
        </w:tc>
        <w:tc>
          <w:tcPr>
            <w:tcW w:w="1133"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认证</w:t>
            </w:r>
          </w:p>
        </w:tc>
        <w:tc>
          <w:tcPr>
            <w:tcW w:w="7158" w:type="dxa"/>
            <w:tcMar>
              <w:left w:w="0" w:type="dxa"/>
              <w:right w:w="0" w:type="dxa"/>
            </w:tcMar>
            <w:vAlign w:val="center"/>
          </w:tcPr>
          <w:p>
            <w:pPr>
              <w:spacing w:line="380" w:lineRule="exact"/>
              <w:ind w:firstLine="552"/>
              <w:rPr>
                <w:kern w:val="0"/>
                <w:sz w:val="28"/>
                <w:szCs w:val="28"/>
                <w:lang w:bidi="en-US"/>
              </w:rPr>
            </w:pPr>
            <w:r>
              <w:rPr>
                <w:kern w:val="0"/>
                <w:sz w:val="28"/>
                <w:szCs w:val="28"/>
                <w:lang w:bidi="en-US"/>
              </w:rPr>
              <w:t>全市各类有效认证证书保有量达到2.3万张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tcMar>
              <w:left w:w="0" w:type="dxa"/>
              <w:right w:w="0" w:type="dxa"/>
            </w:tcMar>
            <w:vAlign w:val="center"/>
          </w:tcPr>
          <w:p>
            <w:pPr>
              <w:spacing w:line="380" w:lineRule="exact"/>
              <w:ind w:firstLine="0" w:firstLineChars="0"/>
              <w:jc w:val="center"/>
              <w:rPr>
                <w:bCs/>
                <w:kern w:val="0"/>
                <w:sz w:val="28"/>
                <w:szCs w:val="28"/>
                <w:lang w:bidi="en-US"/>
              </w:rPr>
            </w:pPr>
            <w:r>
              <w:rPr>
                <w:kern w:val="0"/>
                <w:sz w:val="28"/>
                <w:szCs w:val="28"/>
                <w:lang w:bidi="en-US"/>
              </w:rPr>
              <w:t>19</w:t>
            </w:r>
          </w:p>
        </w:tc>
        <w:tc>
          <w:tcPr>
            <w:tcW w:w="1133"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检验检测</w:t>
            </w:r>
          </w:p>
        </w:tc>
        <w:tc>
          <w:tcPr>
            <w:tcW w:w="7158" w:type="dxa"/>
            <w:tcMar>
              <w:left w:w="0" w:type="dxa"/>
              <w:right w:w="0" w:type="dxa"/>
            </w:tcMar>
            <w:vAlign w:val="center"/>
          </w:tcPr>
          <w:p>
            <w:pPr>
              <w:spacing w:line="380" w:lineRule="exact"/>
              <w:ind w:firstLine="552"/>
              <w:rPr>
                <w:kern w:val="0"/>
                <w:sz w:val="28"/>
                <w:szCs w:val="28"/>
                <w:lang w:bidi="en-US"/>
              </w:rPr>
            </w:pPr>
            <w:r>
              <w:rPr>
                <w:kern w:val="0"/>
                <w:sz w:val="28"/>
                <w:szCs w:val="28"/>
                <w:lang w:bidi="en-US"/>
              </w:rPr>
              <w:t>全市每年监督检查检验检测资质认定机构不少于80家，每年组织不少于70家检验检测机构参加实验室能力验证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tcMar>
              <w:left w:w="0" w:type="dxa"/>
              <w:right w:w="0" w:type="dxa"/>
            </w:tcMar>
            <w:vAlign w:val="center"/>
          </w:tcPr>
          <w:p>
            <w:pPr>
              <w:spacing w:line="380" w:lineRule="exact"/>
              <w:ind w:firstLine="0" w:firstLineChars="0"/>
              <w:jc w:val="center"/>
              <w:rPr>
                <w:bCs/>
                <w:kern w:val="0"/>
                <w:sz w:val="28"/>
                <w:szCs w:val="28"/>
                <w:lang w:bidi="en-US"/>
              </w:rPr>
            </w:pPr>
            <w:r>
              <w:rPr>
                <w:kern w:val="0"/>
                <w:sz w:val="28"/>
                <w:szCs w:val="28"/>
                <w:lang w:bidi="en-US"/>
              </w:rPr>
              <w:t>20</w:t>
            </w:r>
          </w:p>
        </w:tc>
        <w:tc>
          <w:tcPr>
            <w:tcW w:w="1133" w:type="dxa"/>
            <w:tcMar>
              <w:left w:w="0" w:type="dxa"/>
              <w:right w:w="0" w:type="dxa"/>
            </w:tcMar>
            <w:vAlign w:val="center"/>
          </w:tcPr>
          <w:p>
            <w:pPr>
              <w:spacing w:line="380" w:lineRule="exact"/>
              <w:ind w:firstLine="0" w:firstLineChars="0"/>
              <w:jc w:val="center"/>
              <w:rPr>
                <w:kern w:val="0"/>
                <w:sz w:val="28"/>
                <w:szCs w:val="28"/>
                <w:lang w:bidi="en-US"/>
              </w:rPr>
            </w:pPr>
            <w:r>
              <w:rPr>
                <w:kern w:val="0"/>
                <w:sz w:val="28"/>
                <w:szCs w:val="28"/>
                <w:lang w:bidi="en-US"/>
              </w:rPr>
              <w:t>科技发展</w:t>
            </w:r>
          </w:p>
        </w:tc>
        <w:tc>
          <w:tcPr>
            <w:tcW w:w="7158" w:type="dxa"/>
            <w:tcMar>
              <w:left w:w="0" w:type="dxa"/>
              <w:right w:w="0" w:type="dxa"/>
            </w:tcMar>
            <w:vAlign w:val="center"/>
          </w:tcPr>
          <w:p>
            <w:pPr>
              <w:spacing w:line="380" w:lineRule="exact"/>
              <w:ind w:firstLine="552"/>
              <w:rPr>
                <w:kern w:val="0"/>
                <w:sz w:val="28"/>
                <w:szCs w:val="28"/>
                <w:lang w:bidi="en-US"/>
              </w:rPr>
            </w:pPr>
            <w:r>
              <w:rPr>
                <w:kern w:val="0"/>
                <w:sz w:val="28"/>
                <w:szCs w:val="28"/>
                <w:lang w:bidi="en-US"/>
              </w:rPr>
              <w:t>筹建2家省级质检中心：“辽宁省车用天然气产品质量监督检验中心”、“辽宁省流量计产品质量监督检验中心”</w:t>
            </w:r>
          </w:p>
        </w:tc>
      </w:tr>
    </w:tbl>
    <w:p>
      <w:pPr>
        <w:spacing w:before="579" w:beforeLines="100" w:after="579" w:afterLines="100"/>
        <w:ind w:firstLine="0" w:firstLineChars="0"/>
        <w:jc w:val="center"/>
        <w:outlineLvl w:val="0"/>
        <w:rPr>
          <w:rFonts w:ascii="黑体" w:hAnsi="黑体" w:eastAsia="黑体"/>
        </w:rPr>
      </w:pPr>
      <w:r>
        <w:rPr>
          <w:rFonts w:hint="eastAsia" w:ascii="黑体" w:hAnsi="黑体" w:eastAsia="黑体"/>
        </w:rPr>
        <w:t>第三章　主要任务</w:t>
      </w:r>
    </w:p>
    <w:p>
      <w:pPr>
        <w:ind w:firstLine="632"/>
      </w:pPr>
      <w:r>
        <w:rPr>
          <w:rFonts w:hint="eastAsia"/>
        </w:rPr>
        <w:t>紧扣建设高标准市场体系、推进高质量发展和创造高品质生活目标，引导各类要素、各类资源集聚，优化和丰富市场监管工具供给，努力打造高效便捷的市场准入环境、公平有序的市场竞争环境、“吃得放心、买得放心、用得放心”的市场消费环境“三大环境”；深入实施质量强市战略、知识产权强市战略“两大”战略，全力打造高质量发展高地；持续构建更加完善的信用监管体系、持续构建更加完善的智慧监管体系、创新丰富市场监管工具、优化市场监管法治体系，构建更加公平有效的市场监管体系，为建设国家中心城市提供有力支撑。</w:t>
      </w:r>
    </w:p>
    <w:p>
      <w:pPr>
        <w:ind w:firstLine="632"/>
        <w:outlineLvl w:val="1"/>
        <w:rPr>
          <w:rFonts w:ascii="黑体" w:hAnsi="黑体" w:eastAsia="黑体"/>
        </w:rPr>
      </w:pPr>
      <w:r>
        <w:rPr>
          <w:rFonts w:hint="eastAsia" w:ascii="黑体" w:hAnsi="黑体" w:eastAsia="黑体"/>
        </w:rPr>
        <w:t>一、持续优化提升营商环境，充分激发市场主体活力</w:t>
      </w:r>
    </w:p>
    <w:p>
      <w:pPr>
        <w:ind w:firstLine="632"/>
      </w:pPr>
      <w:r>
        <w:rPr>
          <w:rFonts w:hint="eastAsia"/>
        </w:rPr>
        <w:t>落实《</w:t>
      </w:r>
      <w:bookmarkStart w:id="3" w:name="_Hlk103935660"/>
      <w:r>
        <w:rPr>
          <w:rFonts w:hint="eastAsia"/>
        </w:rPr>
        <w:t>中共中央办公厅 国务院办公厅关于建设高标准市场体系行动方案</w:t>
      </w:r>
      <w:bookmarkEnd w:id="3"/>
      <w:r>
        <w:rPr>
          <w:rFonts w:hint="eastAsia"/>
        </w:rPr>
        <w:t>》《中共中央办公厅 国务院办公厅关于加快建设全国统一大市场的意见》，以平等准入、统一开放、竞争有序、诚信守法为原则，不断深化商事制度改革，强化公平竞争基础性地位，对涉及人民群众身体健康和生命财产安全、公共安全的特殊行业、重点领域，加强全覆盖重点监管，加强消费者权益保护，更大激发市场主体活力和发展内生动力，努力打造“三大环境”，为畅通经济循环、推动高质量发展提供有力支撑。</w:t>
      </w:r>
    </w:p>
    <w:p>
      <w:pPr>
        <w:ind w:firstLine="632"/>
        <w:outlineLvl w:val="1"/>
        <w:rPr>
          <w:rFonts w:ascii="楷体_GB2312" w:eastAsia="楷体_GB2312"/>
        </w:rPr>
      </w:pPr>
      <w:r>
        <w:rPr>
          <w:rFonts w:hint="eastAsia" w:ascii="楷体_GB2312" w:eastAsia="楷体_GB2312"/>
        </w:rPr>
        <w:t>（一）努力打造高效便捷的市场准入环境</w:t>
      </w:r>
    </w:p>
    <w:p>
      <w:pPr>
        <w:ind w:firstLine="632"/>
      </w:pPr>
      <w:r>
        <w:rPr>
          <w:rFonts w:hint="eastAsia"/>
        </w:rPr>
        <w:t>以实施《中华人民共和国市场主体登记管理条例》为契机，持续巩固拓展商事制度改革成果，完善支持市场主体全生命周期发展的政策措施，有效降低制度性交易成本，更大激发市场主体活力和发展内生动力，为构建新发展格局提供强有力的支撑。</w:t>
      </w:r>
    </w:p>
    <w:p>
      <w:pPr>
        <w:ind w:firstLine="632"/>
        <w:outlineLvl w:val="2"/>
        <w:rPr>
          <w:vanish/>
        </w:rPr>
      </w:pPr>
      <w:r>
        <w:t>1</w:t>
      </w:r>
      <w:r>
        <w:rPr>
          <w:rFonts w:hint="eastAsia"/>
        </w:rPr>
        <w:t>.</w:t>
      </w:r>
      <w:r>
        <w:rPr>
          <w:rFonts w:hint="eastAsia"/>
          <w:b/>
          <w:bCs/>
        </w:rPr>
        <w:t>推进商事主体登记改革</w:t>
      </w:r>
      <w:r>
        <w:rPr>
          <w:rFonts w:hint="eastAsia"/>
        </w:rPr>
        <w:t>。</w:t>
      </w:r>
    </w:p>
    <w:p>
      <w:pPr>
        <w:ind w:firstLine="634"/>
        <w:outlineLvl w:val="3"/>
        <w:rPr>
          <w:vanish/>
        </w:rPr>
      </w:pPr>
      <w:r>
        <w:rPr>
          <w:rFonts w:hint="eastAsia"/>
          <w:b/>
          <w:bCs/>
        </w:rPr>
        <w:t>全面推进“一网通办”改革</w:t>
      </w:r>
      <w:r>
        <w:rPr>
          <w:rFonts w:hint="eastAsia"/>
        </w:rPr>
        <w:t>。</w:t>
      </w:r>
    </w:p>
    <w:p>
      <w:pPr>
        <w:ind w:firstLine="632"/>
        <w:rPr>
          <w:vanish/>
        </w:rPr>
      </w:pPr>
      <w:r>
        <w:rPr>
          <w:rFonts w:hint="eastAsia"/>
        </w:rPr>
        <w:t>实现企业开办全程网上办，依托省企业开办“一网通办”平台，推行企业登记、公章刻制、申领发票和税控设备、员工参保登记、住房公积金企业缴存登记等企业开办全流程线上申请办理，探索将更多事项纳入“一网通办”。加快实现涉企证照电子化，在加强监管、保障安全前提下，进一步推进电子营业执照应用，探索电子营业执照、电子印章同步发放和应用。全面推进行政许可事项“一网通办”，加快推进电子表单、电子证照、电子签章应用，努力推动市场监管审批事项全程网办升级为全程电子化审批。跟进实施高频政务服务事项“跨省通办”，实现企业跨区域迁移网上办理，推进异地办事“马上办、网上办、就近办、一地办”。</w:t>
      </w:r>
    </w:p>
    <w:p>
      <w:pPr>
        <w:ind w:firstLine="634"/>
        <w:outlineLvl w:val="3"/>
        <w:rPr>
          <w:vanish/>
        </w:rPr>
      </w:pPr>
      <w:r>
        <w:rPr>
          <w:rFonts w:hint="eastAsia"/>
          <w:b/>
          <w:bCs/>
        </w:rPr>
        <w:t>推进登记审批服务标准化</w:t>
      </w:r>
      <w:r>
        <w:rPr>
          <w:rFonts w:hint="eastAsia"/>
        </w:rPr>
        <w:t>。</w:t>
      </w:r>
    </w:p>
    <w:p>
      <w:pPr>
        <w:ind w:firstLine="632"/>
        <w:rPr>
          <w:vanish/>
        </w:rPr>
      </w:pPr>
      <w:r>
        <w:rPr>
          <w:rFonts w:hint="eastAsia"/>
        </w:rPr>
        <w:t>深入实施《中华人民共和国市场主体登记管理条例》，统一各类市场主体登记管理制度，稳妥落实企业歇业、受益所有人备案等制度，依法保障市场主体合法权益和促进创业创新。优化企业开办服务，提高标准化规范化水平。按照“四减”要求，细化量化服务标准，压缩自由裁量权，实行同一事项无差别受理、同标准办理。落实“一网、一门、一次”要求，创新便利化服务方式和手段，</w:t>
      </w:r>
      <w:bookmarkStart w:id="4" w:name="_Hlk90910436"/>
      <w:r>
        <w:rPr>
          <w:rFonts w:hint="eastAsia"/>
        </w:rPr>
        <w:t>在进一步压缩企业开办、退出时间的同时，把更多精力投入到提高企业和群众办事体验上来。</w:t>
      </w:r>
      <w:bookmarkEnd w:id="4"/>
    </w:p>
    <w:p>
      <w:pPr>
        <w:ind w:firstLine="634"/>
        <w:outlineLvl w:val="3"/>
        <w:rPr>
          <w:vanish/>
        </w:rPr>
      </w:pPr>
      <w:r>
        <w:rPr>
          <w:rFonts w:hint="eastAsia"/>
          <w:b/>
          <w:bCs/>
        </w:rPr>
        <w:t>推进名称和住所（经营场所）登记改革</w:t>
      </w:r>
      <w:r>
        <w:rPr>
          <w:rFonts w:hint="eastAsia"/>
        </w:rPr>
        <w:t>。</w:t>
      </w:r>
    </w:p>
    <w:p>
      <w:pPr>
        <w:ind w:firstLine="632"/>
      </w:pPr>
      <w:r>
        <w:rPr>
          <w:rFonts w:hint="eastAsia"/>
        </w:rPr>
        <w:t>持续推进名称自主申报登记，依法放宽新产业、新业态名称行业表述管理限制。全面推进住所与经营场所分离登记改革，放宽企业住所登记条件，实行住所（经营场所）登记自主申报承诺制。按照国家统一部署，推进商事主体登记确认制改革，最大程度尊重企业登记注册自主权，提升市场主体准入效率。</w:t>
      </w:r>
    </w:p>
    <w:p>
      <w:pPr>
        <w:ind w:firstLine="632"/>
        <w:outlineLvl w:val="2"/>
        <w:rPr>
          <w:vanish/>
        </w:rPr>
      </w:pPr>
      <w:r>
        <w:t>2.</w:t>
      </w:r>
      <w:r>
        <w:rPr>
          <w:rFonts w:hint="eastAsia"/>
          <w:b/>
          <w:bCs/>
        </w:rPr>
        <w:t>推进涉企经营许可制度改革</w:t>
      </w:r>
      <w:r>
        <w:rPr>
          <w:rFonts w:hint="eastAsia"/>
        </w:rPr>
        <w:t>。</w:t>
      </w:r>
    </w:p>
    <w:p>
      <w:pPr>
        <w:ind w:firstLine="634"/>
        <w:outlineLvl w:val="3"/>
        <w:rPr>
          <w:vanish/>
        </w:rPr>
      </w:pPr>
      <w:r>
        <w:rPr>
          <w:rFonts w:hint="eastAsia"/>
          <w:b/>
          <w:bCs/>
        </w:rPr>
        <w:t>全面实施“证照分离”改革全覆盖</w:t>
      </w:r>
      <w:r>
        <w:rPr>
          <w:rFonts w:hint="eastAsia"/>
        </w:rPr>
        <w:t>。</w:t>
      </w:r>
    </w:p>
    <w:p>
      <w:pPr>
        <w:ind w:firstLine="632"/>
        <w:rPr>
          <w:vanish/>
        </w:rPr>
      </w:pPr>
      <w:r>
        <w:rPr>
          <w:rFonts w:hint="eastAsia"/>
        </w:rPr>
        <w:t>按照国务院、省市部署，对照最高标准、最好水平，按照进“进四扇门”要求，推进“证照分离”各项普适性改革措施落地落细。在全市范围内实施涉企经营许可事项全覆盖清单管理，对清单内事项按照直接取消审批、审批改为备案、实行告知承诺、优化审批服务等方式，逐项确定改革方式、具体改革举措和加强事中事后监管措施。在自贸区沈阳片区进一步加大改革试点，持续在减材料、减环节、减时限和网上办方面探索实践，大幅提高市场主体办事的便利度和可预期性。围绕“照后减证”，深入探索“一业一证”改革，在市场监管</w:t>
      </w:r>
      <w:r>
        <w:t>11</w:t>
      </w:r>
      <w:r>
        <w:rPr>
          <w:rFonts w:hint="eastAsia"/>
        </w:rPr>
        <w:t>个领域的基础上将更多事项纳入改革范围，推动更多行业实现“一证准营”。</w:t>
      </w:r>
    </w:p>
    <w:p>
      <w:pPr>
        <w:ind w:firstLine="634"/>
        <w:outlineLvl w:val="3"/>
        <w:rPr>
          <w:vanish/>
        </w:rPr>
      </w:pPr>
      <w:r>
        <w:rPr>
          <w:rFonts w:hint="eastAsia"/>
          <w:b/>
          <w:bCs/>
        </w:rPr>
        <w:t>推进实施一批行政许可改革</w:t>
      </w:r>
      <w:r>
        <w:rPr>
          <w:rFonts w:hint="eastAsia"/>
        </w:rPr>
        <w:t>。</w:t>
      </w:r>
    </w:p>
    <w:p>
      <w:pPr>
        <w:ind w:firstLine="632"/>
        <w:rPr>
          <w:vanish/>
        </w:rPr>
      </w:pPr>
      <w:r>
        <w:rPr>
          <w:rFonts w:hint="eastAsia"/>
        </w:rPr>
        <w:t>落实国务院办公厅《关于全面实行行政许可事项清单管理的通知》，建立全部涉企经营许可事项清单管理和动态调整机制，依法减少市场监管行政审批项目，严格控制新设审批项目，严禁清单外变相审批行为。有序承接国家和省行政审批许可事项，持续推进市场监管审批服务关口前移。全面推行证明事项和涉企经营许可事项告知承诺制，扩大承诺制实施范围，适时逐步推行检验检测机构资质认定告知承诺制。</w:t>
      </w:r>
    </w:p>
    <w:p>
      <w:pPr>
        <w:ind w:firstLine="634"/>
        <w:outlineLvl w:val="3"/>
        <w:rPr>
          <w:vanish/>
        </w:rPr>
      </w:pPr>
      <w:r>
        <w:rPr>
          <w:rFonts w:hint="eastAsia"/>
          <w:b/>
          <w:bCs/>
        </w:rPr>
        <w:t>强化行政审批中介服务监管</w:t>
      </w:r>
      <w:r>
        <w:rPr>
          <w:rFonts w:hint="eastAsia"/>
        </w:rPr>
        <w:t>。</w:t>
      </w:r>
    </w:p>
    <w:p>
      <w:pPr>
        <w:ind w:firstLine="632"/>
      </w:pPr>
      <w:r>
        <w:t xml:space="preserve"> </w:t>
      </w:r>
      <w:r>
        <w:rPr>
          <w:rFonts w:hint="eastAsia"/>
        </w:rPr>
        <w:t>加强动态清单管理，依法规范统一全市行政审批中介服务事项。督促开展行政审批中介服务“双随机”抽查，依法规范中介服务机构执业行为。动态管理行政审批中介服务机构名录库，推动各类行政审批中介服务机构公开服务条件、流程、时限和收费标准，营造公平竞争环境。依法向社会公示失信行政审批中介服务机构，强化社会监督。</w:t>
      </w:r>
    </w:p>
    <w:p>
      <w:pPr>
        <w:ind w:firstLine="632"/>
        <w:outlineLvl w:val="2"/>
        <w:rPr>
          <w:vanish/>
        </w:rPr>
      </w:pPr>
      <w:r>
        <w:t>3</w:t>
      </w:r>
      <w:r>
        <w:rPr>
          <w:rFonts w:hint="eastAsia"/>
        </w:rPr>
        <w:t>.</w:t>
      </w:r>
      <w:r>
        <w:rPr>
          <w:rFonts w:hint="eastAsia"/>
          <w:b/>
          <w:bCs/>
        </w:rPr>
        <w:t>推进市场主体退出机制改革</w:t>
      </w:r>
      <w:r>
        <w:rPr>
          <w:rFonts w:hint="eastAsia"/>
        </w:rPr>
        <w:t>。</w:t>
      </w:r>
    </w:p>
    <w:p>
      <w:pPr>
        <w:ind w:firstLine="634"/>
        <w:outlineLvl w:val="3"/>
        <w:rPr>
          <w:vanish/>
        </w:rPr>
      </w:pPr>
      <w:r>
        <w:rPr>
          <w:rFonts w:hint="eastAsia"/>
          <w:b/>
          <w:bCs/>
        </w:rPr>
        <w:t>构建兼顾效率与安全的市场退出机制</w:t>
      </w:r>
      <w:r>
        <w:rPr>
          <w:rFonts w:hint="eastAsia"/>
        </w:rPr>
        <w:t>。</w:t>
      </w:r>
    </w:p>
    <w:p>
      <w:pPr>
        <w:ind w:firstLine="632"/>
        <w:rPr>
          <w:vanish/>
        </w:rPr>
      </w:pPr>
      <w:r>
        <w:rPr>
          <w:rFonts w:hint="eastAsia"/>
        </w:rPr>
        <w:t>坚持优胜劣汰的市场化取向，建立健全便利、高效、有序的市场主体退出机制，推进部门间数据共享和业务协同，提升企业注销便利度。按照省局统一部署，探索开展长期吊销未注销企业强制注销试点，规范市场主体退出行为。深化拓展企业注销“一网服务”平台应用，优化企业注销办理流程，精简申请材料，压缩办理时间，实现企业“一网”获知各环节流程、进度和结果，提高企业注销效率。</w:t>
      </w:r>
    </w:p>
    <w:p>
      <w:pPr>
        <w:ind w:firstLine="634"/>
        <w:outlineLvl w:val="3"/>
        <w:rPr>
          <w:vanish/>
        </w:rPr>
      </w:pPr>
      <w:r>
        <w:rPr>
          <w:rFonts w:hint="eastAsia"/>
          <w:b/>
          <w:bCs/>
        </w:rPr>
        <w:t>深化简易注销改革</w:t>
      </w:r>
      <w:r>
        <w:rPr>
          <w:rFonts w:hint="eastAsia"/>
        </w:rPr>
        <w:t>。</w:t>
      </w:r>
    </w:p>
    <w:p>
      <w:pPr>
        <w:ind w:firstLine="632"/>
      </w:pPr>
      <w:r>
        <w:rPr>
          <w:rFonts w:hint="eastAsia"/>
        </w:rPr>
        <w:t>进一步完善企业简易注销登记改革试点，将适用范围拓展到除上市股份公司以外的所有企业类型，将公告时间由</w:t>
      </w:r>
      <w:r>
        <w:t>45</w:t>
      </w:r>
      <w:r>
        <w:rPr>
          <w:rFonts w:hint="eastAsia"/>
        </w:rPr>
        <w:t>天压缩到</w:t>
      </w:r>
      <w:r>
        <w:t>20</w:t>
      </w:r>
      <w:r>
        <w:rPr>
          <w:rFonts w:hint="eastAsia"/>
        </w:rPr>
        <w:t>天。支持无债权债务的有限责任公司和人民法院裁定强制清算或裁定宣告破产的市场主体，依法办理简易注销登记，降低市场退出成本。开展个体工商户简易注销改革。</w:t>
      </w:r>
    </w:p>
    <w:p>
      <w:pPr>
        <w:ind w:firstLine="632"/>
        <w:outlineLvl w:val="2"/>
        <w:rPr>
          <w:vanish/>
        </w:rPr>
      </w:pPr>
      <w:r>
        <w:t>4</w:t>
      </w:r>
      <w:r>
        <w:rPr>
          <w:rFonts w:hint="eastAsia"/>
        </w:rPr>
        <w:t>.</w:t>
      </w:r>
      <w:r>
        <w:rPr>
          <w:rFonts w:hint="eastAsia"/>
          <w:b/>
          <w:bCs/>
        </w:rPr>
        <w:t>加大对小微企业和个体工商户支持力度</w:t>
      </w:r>
      <w:r>
        <w:rPr>
          <w:rFonts w:hint="eastAsia"/>
        </w:rPr>
        <w:t>。</w:t>
      </w:r>
    </w:p>
    <w:p>
      <w:pPr>
        <w:ind w:firstLine="634"/>
        <w:outlineLvl w:val="3"/>
        <w:rPr>
          <w:vanish/>
        </w:rPr>
      </w:pPr>
      <w:r>
        <w:rPr>
          <w:rFonts w:hint="eastAsia"/>
          <w:b/>
          <w:bCs/>
        </w:rPr>
        <w:t>完善支持服务制度机制</w:t>
      </w:r>
      <w:r>
        <w:rPr>
          <w:rFonts w:hint="eastAsia"/>
        </w:rPr>
        <w:t>。</w:t>
      </w:r>
    </w:p>
    <w:p>
      <w:pPr>
        <w:ind w:firstLine="632"/>
        <w:rPr>
          <w:vanish/>
        </w:rPr>
      </w:pPr>
      <w:r>
        <w:rPr>
          <w:rFonts w:hint="eastAsia"/>
        </w:rPr>
        <w:t>建立扶持个体工商户发展领导小组工作机制，凝聚扶持个体工商户发展合力，统筹推进个体工商户的持续发展。加强市场主体发展形势分析，不断加强对市场主体发展规律的理解，畅通市场主体需求表达渠道，建立与宏观经济部门、智库、专家对接合作机制，深度分析市场主体发展运行状况、共性关切和政策效应，提高政策研究和供给能力。建立健全市场监管部门“小个专”党建工作体系，依托省局非公有制经济组织党建数据平台，持续提升“小个专”领域党的组织覆盖和党的工作覆盖。发挥个私协在服务个体工商户和私营企业中的积极作用。</w:t>
      </w:r>
    </w:p>
    <w:p>
      <w:pPr>
        <w:ind w:firstLine="634"/>
        <w:outlineLvl w:val="3"/>
        <w:rPr>
          <w:vanish/>
        </w:rPr>
      </w:pPr>
      <w:r>
        <w:rPr>
          <w:rFonts w:hint="eastAsia"/>
          <w:b/>
          <w:bCs/>
        </w:rPr>
        <w:t>提高支持政策集成效应</w:t>
      </w:r>
      <w:r>
        <w:rPr>
          <w:rFonts w:hint="eastAsia"/>
        </w:rPr>
        <w:t>。</w:t>
      </w:r>
    </w:p>
    <w:p>
      <w:pPr>
        <w:ind w:firstLine="632"/>
        <w:rPr>
          <w:vanish/>
        </w:rPr>
      </w:pPr>
      <w:r>
        <w:rPr>
          <w:rFonts w:hint="eastAsia"/>
        </w:rPr>
        <w:t>深入推进小微企业名录系统建设，进一步提升小微企业名录系统服务功能，健全政府部门协作机制。逐步扩大扶持政策归集覆盖面到政府各部门，编制发布导航信息，实施扶持政策事项动态管理。动态管理“小微企业库”，定期编制全市小微企业数据分析报告，推动政府部门共享小微企业数据，提升服务民营经济发展效能。协同科技、人社、工信等部门，持续做好创业孵化基地、高校毕业生就业见习基地、特色小微企业“三大企业展示平台”建设。支持个体工商户提质增效，支持各区、县（市）出台奖励政策，引领个体工商户转型升级为企业。</w:t>
      </w:r>
    </w:p>
    <w:p>
      <w:pPr>
        <w:ind w:firstLine="634"/>
        <w:outlineLvl w:val="3"/>
        <w:rPr>
          <w:vanish/>
        </w:rPr>
      </w:pPr>
      <w:r>
        <w:rPr>
          <w:rFonts w:hint="eastAsia"/>
          <w:b/>
          <w:bCs/>
        </w:rPr>
        <w:t>大力实施市场主体增长三年行动计划</w:t>
      </w:r>
      <w:r>
        <w:rPr>
          <w:rFonts w:hint="eastAsia"/>
        </w:rPr>
        <w:t>。</w:t>
      </w:r>
    </w:p>
    <w:p>
      <w:pPr>
        <w:ind w:firstLine="632"/>
      </w:pPr>
      <w:r>
        <w:rPr>
          <w:rFonts w:hint="eastAsia"/>
        </w:rPr>
        <w:t>牵头制订《沈阳市培育发展市场主体三年行动方案（</w:t>
      </w:r>
      <w:r>
        <w:t>2022</w:t>
      </w:r>
      <w:r>
        <w:rPr>
          <w:rFonts w:hint="eastAsia"/>
        </w:rPr>
        <w:t>—</w:t>
      </w:r>
      <w:r>
        <w:t>2024</w:t>
      </w:r>
      <w:r>
        <w:rPr>
          <w:rFonts w:hint="eastAsia"/>
        </w:rPr>
        <w:t>）》，按照条抓块保、合力推进的原则，聚焦数量增加和质量提升两个维度，全力推动市场主体培育工作。到</w:t>
      </w:r>
      <w:r>
        <w:t>2024</w:t>
      </w:r>
      <w:r>
        <w:rPr>
          <w:rFonts w:hint="eastAsia"/>
        </w:rPr>
        <w:t>年底，全市市场主体数量年均增长不低于</w:t>
      </w:r>
      <w:r>
        <w:t>16</w:t>
      </w:r>
      <w:r>
        <w:rPr>
          <w:rFonts w:hint="eastAsia"/>
        </w:rPr>
        <w:t>％，力争经过</w:t>
      </w:r>
      <w:r>
        <w:t>3</w:t>
      </w:r>
      <w:r>
        <w:rPr>
          <w:rFonts w:hint="eastAsia"/>
        </w:rPr>
        <w:t>年努力，使全市市场主体数量达到</w:t>
      </w:r>
      <w:r>
        <w:t>160</w:t>
      </w:r>
      <w:r>
        <w:rPr>
          <w:rFonts w:hint="eastAsia"/>
        </w:rPr>
        <w:t>万户目标。</w:t>
      </w:r>
    </w:p>
    <w:p>
      <w:pPr>
        <w:ind w:firstLine="632"/>
        <w:outlineLvl w:val="1"/>
        <w:rPr>
          <w:rFonts w:ascii="楷体_GB2312" w:eastAsia="楷体_GB2312"/>
        </w:rPr>
      </w:pPr>
      <w:r>
        <w:rPr>
          <w:rFonts w:hint="eastAsia" w:ascii="楷体_GB2312" w:eastAsia="楷体_GB2312"/>
        </w:rPr>
        <w:t>（二）努力打造公平有序的市场竞争环境</w:t>
      </w:r>
    </w:p>
    <w:p>
      <w:pPr>
        <w:ind w:firstLine="632"/>
      </w:pPr>
      <w:r>
        <w:rPr>
          <w:rFonts w:hint="eastAsia"/>
        </w:rPr>
        <w:t>落实《关于强化反垄断深入推进公平竞争政策实施的意见》，以公平竞争、充分开放为导向，</w:t>
      </w:r>
      <w:r>
        <w:rPr>
          <w:rFonts w:hint="eastAsia" w:hAnsi="黑体"/>
        </w:rPr>
        <w:t>强化竞争政策基础地位，落实公平竞争审</w:t>
      </w:r>
      <w:r>
        <w:rPr>
          <w:rFonts w:hint="eastAsia"/>
        </w:rPr>
        <w:t>查制度，强化反不正当竞争执法，保障公平竞争市场规则有序运行，助力</w:t>
      </w:r>
      <w:r>
        <w:rPr>
          <w:rFonts w:hint="eastAsia" w:ascii="仿宋_GB2312"/>
          <w:szCs w:val="32"/>
        </w:rPr>
        <w:t>加快建设高效规范、公平竞争、充分开放的全国统一大市场</w:t>
      </w:r>
      <w:r>
        <w:rPr>
          <w:rFonts w:hint="eastAsia"/>
        </w:rPr>
        <w:t>。</w:t>
      </w:r>
    </w:p>
    <w:p>
      <w:pPr>
        <w:ind w:firstLine="632"/>
        <w:outlineLvl w:val="2"/>
        <w:rPr>
          <w:vanish/>
        </w:rPr>
      </w:pPr>
      <w:r>
        <w:t>1.</w:t>
      </w:r>
      <w:r>
        <w:rPr>
          <w:rFonts w:hint="eastAsia"/>
          <w:b/>
          <w:bCs/>
        </w:rPr>
        <w:t>更好发挥</w:t>
      </w:r>
      <w:r>
        <w:rPr>
          <w:rFonts w:hint="eastAsia"/>
          <w:b/>
        </w:rPr>
        <w:t>公平竞争审查作用</w:t>
      </w:r>
      <w:r>
        <w:rPr>
          <w:rFonts w:hint="eastAsia"/>
        </w:rPr>
        <w:t>。</w:t>
      </w:r>
    </w:p>
    <w:p>
      <w:pPr>
        <w:ind w:firstLine="634"/>
        <w:outlineLvl w:val="3"/>
        <w:rPr>
          <w:vanish/>
        </w:rPr>
      </w:pPr>
      <w:r>
        <w:rPr>
          <w:rFonts w:hint="eastAsia"/>
          <w:b/>
          <w:bCs/>
        </w:rPr>
        <w:t>压实</w:t>
      </w:r>
      <w:r>
        <w:rPr>
          <w:b/>
          <w:bCs/>
        </w:rPr>
        <w:t>公平竞争审查</w:t>
      </w:r>
      <w:r>
        <w:rPr>
          <w:rFonts w:hint="eastAsia"/>
          <w:b/>
          <w:bCs/>
        </w:rPr>
        <w:t>工作体系</w:t>
      </w:r>
      <w:r>
        <w:rPr>
          <w:rFonts w:hint="eastAsia"/>
        </w:rPr>
        <w:t>。</w:t>
      </w:r>
    </w:p>
    <w:p>
      <w:pPr>
        <w:ind w:firstLine="632"/>
        <w:rPr>
          <w:vanish/>
        </w:rPr>
      </w:pPr>
      <w:r>
        <w:t>健全公平竞争审查联席会议制度，加快构建全面覆盖、规则完备、权责明确、运行高效、监督有力的公平竞争审查体系。</w:t>
      </w:r>
      <w:r>
        <w:rPr>
          <w:rFonts w:hint="eastAsia"/>
        </w:rPr>
        <w:t>建立</w:t>
      </w:r>
      <w:r>
        <w:t>包含专家学者、竞争法律师等公平竞争审查工作专家库</w:t>
      </w:r>
      <w:r>
        <w:rPr>
          <w:rFonts w:hint="eastAsia"/>
        </w:rPr>
        <w:t>，加强我市公平竞争审查工作的智库保障。推行公平竞争第三方评估方式，探索建立联合会审机制和政策制定机关内部统一审查机制，加强常态化审查抽查、考核、公示制度。落实市场监管总局等五部门印发的《公平竞争审查制度实施细则》，按照“谁制定、谁清理”的原则，严格存量政策措施的审查，指导全市对现行有效政策措施开展全面清理工作，严格审查新出台的政策措施，从源头上遏制出台排除限制竞争的政策措施。健全投诉举报和处置回应机制，及时纠正制约经济发展、滥用行政权力、破坏市场竞争的问题。</w:t>
      </w:r>
    </w:p>
    <w:p>
      <w:pPr>
        <w:ind w:firstLine="634"/>
        <w:outlineLvl w:val="3"/>
        <w:rPr>
          <w:vanish/>
        </w:rPr>
      </w:pPr>
      <w:r>
        <w:rPr>
          <w:rFonts w:hint="eastAsia"/>
          <w:b/>
        </w:rPr>
        <w:t>提高公平竞争意识和合规能力</w:t>
      </w:r>
      <w:r>
        <w:rPr>
          <w:rFonts w:hint="eastAsia"/>
        </w:rPr>
        <w:t>。</w:t>
      </w:r>
    </w:p>
    <w:p>
      <w:pPr>
        <w:ind w:firstLine="632"/>
        <w:rPr>
          <w:vanish/>
        </w:rPr>
      </w:pPr>
      <w:r>
        <w:rPr>
          <w:rFonts w:hint="eastAsia"/>
        </w:rPr>
        <w:t>落实国务院办公厅《</w:t>
      </w:r>
      <w:bookmarkStart w:id="5" w:name="_Hlk79756323"/>
      <w:r>
        <w:rPr>
          <w:rFonts w:hint="eastAsia"/>
        </w:rPr>
        <w:t>关于促进平台经济规范健康发展的指导意见》</w:t>
      </w:r>
      <w:bookmarkEnd w:id="5"/>
      <w:bookmarkStart w:id="6" w:name="_Hlk79759103"/>
      <w:r>
        <w:rPr>
          <w:rFonts w:hint="eastAsia"/>
        </w:rPr>
        <w:t>、辽宁省政府办公厅《关于促进平台经济规范健康持续发展的实施意见》</w:t>
      </w:r>
      <w:bookmarkEnd w:id="6"/>
      <w:r>
        <w:rPr>
          <w:rFonts w:hint="eastAsia"/>
        </w:rPr>
        <w:t>，加强平台企业对反垄断、反不正当竞争行为的辅导培训，督促平台企业自觉遵守法律法规，严格依法合规经营。创新公平竞争倡导方式，多途径宣传解读反垄断、反不正当竞争法律法规，增强平台企业的反垄断、反不正当竞争合规意识和维护市场公平竞争的自觉性。推动将公平竞争审查列入领导干部培训必备内容，促进竞争政策与产业政策、贸易政策、财税政策等相协调。培育市场竞争文化，加强“政企互动”，引导企业和行业协会、商会积极参与涉企政策措施制定过程。加强市场监管竞争执法能力建设，利用</w:t>
      </w:r>
      <w:r>
        <w:t>5</w:t>
      </w:r>
      <w:r>
        <w:rPr>
          <w:rFonts w:hint="eastAsia"/>
        </w:rPr>
        <w:t>年时间，建强市、区两级专业的公平竞争审查队伍。加强合同监管，开展重点领域合同格式条款监管，严厉查处利用合同实施的各类违法行为，提升当事人合同履约意识，促进形成诚实守信的市场氛围。</w:t>
      </w:r>
    </w:p>
    <w:p>
      <w:pPr>
        <w:ind w:firstLine="634"/>
        <w:outlineLvl w:val="3"/>
        <w:rPr>
          <w:vanish/>
        </w:rPr>
      </w:pPr>
      <w:r>
        <w:rPr>
          <w:rFonts w:hint="eastAsia"/>
          <w:b/>
        </w:rPr>
        <w:t>深化反不正当竞争工作</w:t>
      </w:r>
      <w:r>
        <w:rPr>
          <w:rFonts w:hint="eastAsia"/>
        </w:rPr>
        <w:t>。</w:t>
      </w:r>
    </w:p>
    <w:p>
      <w:pPr>
        <w:ind w:firstLine="632"/>
      </w:pPr>
      <w:r>
        <w:rPr>
          <w:rFonts w:hint="eastAsia"/>
        </w:rPr>
        <w:t>强化《反不正当竞争法》实施，按照省局部署，适时建立反不正当竞争协调机制，形成监管合力；加强商业秘密保护工作，积极倡导公平竞争商业文化，有效提升创新活力。建立企业商业秘密保护名录库，组织开展重点行业商业秘密行政指导和示范建设，构建商业秘密事前事中保护与事后救济的全方位保护机制，在全市创建一批商业秘密保护示范企业（单位）。聚焦市场主体、人民群众反映强烈的突出问题和影响市场公平竞争的难点堵点问题，依法严厉打击市场混淆、虚假宣传、商业贿赂、侵犯商业秘密、违法有奖销售、商业诋毁等不正当竞争行为。创新开展新经济、新业态、新技术领域竞争监管，规范竞争秩序。</w:t>
      </w:r>
    </w:p>
    <w:p>
      <w:pPr>
        <w:ind w:firstLine="632"/>
        <w:outlineLvl w:val="2"/>
        <w:rPr>
          <w:vanish/>
        </w:rPr>
      </w:pPr>
      <w:r>
        <w:t>2</w:t>
      </w:r>
      <w:r>
        <w:rPr>
          <w:rFonts w:hint="eastAsia"/>
        </w:rPr>
        <w:t>.</w:t>
      </w:r>
      <w:r>
        <w:rPr>
          <w:rFonts w:hint="eastAsia"/>
          <w:b/>
          <w:bCs/>
        </w:rPr>
        <w:t>强化反不正当竞争执法</w:t>
      </w:r>
      <w:r>
        <w:rPr>
          <w:rFonts w:hint="eastAsia"/>
        </w:rPr>
        <w:t>。</w:t>
      </w:r>
    </w:p>
    <w:p>
      <w:pPr>
        <w:ind w:firstLine="634"/>
        <w:outlineLvl w:val="3"/>
        <w:rPr>
          <w:vanish/>
        </w:rPr>
      </w:pPr>
      <w:r>
        <w:rPr>
          <w:rFonts w:hint="eastAsia"/>
          <w:b/>
          <w:bCs/>
        </w:rPr>
        <w:t>强化价格监管</w:t>
      </w:r>
      <w:r>
        <w:rPr>
          <w:rFonts w:hint="eastAsia"/>
        </w:rPr>
        <w:t>。</w:t>
      </w:r>
    </w:p>
    <w:p>
      <w:pPr>
        <w:ind w:firstLine="632"/>
        <w:rPr>
          <w:vanish/>
        </w:rPr>
      </w:pPr>
      <w:r>
        <w:rPr>
          <w:rFonts w:hint="eastAsia"/>
        </w:rPr>
        <w:t>加大涉企收费规范和整治力度，聚焦社会和企业反映强烈的重点领域和突出问题，组织开展公路铁路运输物流、行业协会商会、电信、金融、公证、供水供电供气供暖等领域涉企收费专项整治，依法查处涉企违规收费行为，推动各项降费政策落到实处。突出节假日等重要时段，加强生活必需品和防疫用品市场价格监督检查，维护市场价格秩序。强化医疗、教育等重点民生领域价费监管，严肃查处价格欺诈、自立项目收费、超标准收费等价格违法行为，切实维护人民群众合法权益。</w:t>
      </w:r>
    </w:p>
    <w:p>
      <w:pPr>
        <w:ind w:firstLine="634"/>
        <w:outlineLvl w:val="3"/>
        <w:rPr>
          <w:vanish/>
        </w:rPr>
      </w:pPr>
      <w:r>
        <w:rPr>
          <w:rFonts w:hint="eastAsia"/>
          <w:b/>
          <w:bCs/>
        </w:rPr>
        <w:t>强化广告监管</w:t>
      </w:r>
      <w:r>
        <w:rPr>
          <w:rFonts w:hint="eastAsia"/>
        </w:rPr>
        <w:t>。</w:t>
      </w:r>
    </w:p>
    <w:p>
      <w:pPr>
        <w:ind w:firstLine="632"/>
        <w:rPr>
          <w:vanish/>
        </w:rPr>
      </w:pPr>
      <w:r>
        <w:rPr>
          <w:rFonts w:hint="eastAsia"/>
        </w:rPr>
        <w:t>充分发挥整治虚假违法广告联席会议作用，加强部门间协调配合，形成广告监管合力。严格做好“三品一械”广告审查。引导和维护广告宣传正确导向，严厉打击导向问题违法广告。聚焦药品、保健食品、医疗服务、房地产、金融投资理财、教育培训等重点商品和服务，加大虚假违法广告整治力度。持续规范互联网广告，创新监管方式，探索强化新媒体广告监管。充分发挥广告行业组织作用，强化广告经营者、发布者主体责任，引导行业自律。促进公益广告发展。加强广告产业规划引领，优化产业结构、提升创新能力，加强广告业统计。到“十四五”末期，全市广告经营主体数量达到</w:t>
      </w:r>
      <w:r>
        <w:t>0.8</w:t>
      </w:r>
      <w:r>
        <w:rPr>
          <w:rFonts w:hint="eastAsia"/>
        </w:rPr>
        <w:t>万户，广告经营额达到</w:t>
      </w:r>
      <w:r>
        <w:t>40</w:t>
      </w:r>
      <w:r>
        <w:rPr>
          <w:rFonts w:hint="eastAsia"/>
        </w:rPr>
        <w:t>亿元，建成国家广告产业园区</w:t>
      </w:r>
      <w:r>
        <w:t>1</w:t>
      </w:r>
      <w:r>
        <w:rPr>
          <w:rFonts w:hint="eastAsia"/>
        </w:rPr>
        <w:t>个。</w:t>
      </w:r>
    </w:p>
    <w:p>
      <w:pPr>
        <w:ind w:firstLine="634"/>
        <w:outlineLvl w:val="3"/>
        <w:rPr>
          <w:vanish/>
        </w:rPr>
      </w:pPr>
      <w:r>
        <w:rPr>
          <w:rFonts w:hint="eastAsia"/>
          <w:b/>
          <w:bCs/>
        </w:rPr>
        <w:t>坚决遏制市场秩序突出问题</w:t>
      </w:r>
      <w:r>
        <w:rPr>
          <w:rFonts w:hint="eastAsia"/>
        </w:rPr>
        <w:t>。</w:t>
      </w:r>
    </w:p>
    <w:p>
      <w:pPr>
        <w:ind w:firstLine="632"/>
        <w:rPr>
          <w:vanish/>
        </w:rPr>
      </w:pPr>
      <w:r>
        <w:rPr>
          <w:rFonts w:hint="eastAsia"/>
        </w:rPr>
        <w:t>严厉查处食品、药品、化妆品、医疗器械、产品质量和特种设备安全违法行为，大幅提高违法成本。严厉打击经营“三无”食品、劣质食品、过期食品等违法违规行为。加大联合执法力度，大力整治保健食品市场经营秩序，严厉查处各种非法销售保健食品行为。强化药品检查稽查协同和执法联动，监督检查发现违法违规行为查处率</w:t>
      </w:r>
      <w:r>
        <w:t>100</w:t>
      </w:r>
      <w:r>
        <w:rPr>
          <w:rFonts w:hint="eastAsia"/>
        </w:rPr>
        <w:t>％。加大疫苗相关违法犯罪行为打击力度。落实“处罚到人”要求，实行行业从业禁止、终身禁业。健全“行刑衔接”工作机制，严厉打击市场安全领域违法犯罪行为。聚焦民生和新业态、新产业、新模式、新消费领域中的热点问题，组织开展反不正当竞争专项执法。</w:t>
      </w:r>
    </w:p>
    <w:p>
      <w:pPr>
        <w:ind w:firstLine="634"/>
        <w:outlineLvl w:val="3"/>
        <w:rPr>
          <w:vanish/>
        </w:rPr>
      </w:pPr>
      <w:r>
        <w:rPr>
          <w:rFonts w:hint="eastAsia"/>
          <w:b/>
          <w:bCs/>
        </w:rPr>
        <w:t>打击传销和规范直销</w:t>
      </w:r>
      <w:r>
        <w:rPr>
          <w:rFonts w:hint="eastAsia"/>
        </w:rPr>
        <w:t>。</w:t>
      </w:r>
    </w:p>
    <w:p>
      <w:pPr>
        <w:ind w:firstLine="632"/>
        <w:rPr>
          <w:vanish/>
        </w:rPr>
      </w:pPr>
      <w:r>
        <w:rPr>
          <w:rFonts w:hint="eastAsia"/>
        </w:rPr>
        <w:t>发挥议事协调机构作用，进一步完善部门间执法协作机制，强化平安建设考核评价，完善“党政主导、政法牵头、部门协同、公众参与、综合治理”的打击传销工作格局。依托省传销监测网络平台，加强数据分析和线索排查，提升打击传销工作效果。加大对聚集式传销、网络传销违法犯罪活动的打击力度，遏制传销蔓延势头。加强对防范网络传销的宣传教育，持续推进“无传销社区（村）”和“无传销网络平台”创建，提高公众识别和防范传销的意识和能力。创新直销监管方式，加强直销企业监管，依法查处直销违法违规行为，促进直销行业合规经营。</w:t>
      </w:r>
    </w:p>
    <w:p>
      <w:pPr>
        <w:ind w:firstLine="634"/>
        <w:outlineLvl w:val="3"/>
        <w:rPr>
          <w:vanish/>
        </w:rPr>
      </w:pPr>
      <w:r>
        <w:rPr>
          <w:rFonts w:hint="eastAsia"/>
          <w:b/>
          <w:bCs/>
        </w:rPr>
        <w:t>维护统一的市场交易技术规则</w:t>
      </w:r>
      <w:r>
        <w:rPr>
          <w:rFonts w:hint="eastAsia"/>
        </w:rPr>
        <w:t>。</w:t>
      </w:r>
    </w:p>
    <w:p>
      <w:pPr>
        <w:ind w:firstLine="632"/>
      </w:pPr>
      <w:r>
        <w:rPr>
          <w:rFonts w:hint="eastAsia"/>
        </w:rPr>
        <w:t>提升计量监管效能，推进诚信计量体系建设，强化经营者主体责任。加大涉及民生领域计量检查力度，加强对贸易结算、医疗卫生、环境保护等与人民群众健康和切身利益相关的重点领域计量监管。强化地方标准立项和审查，禁止利用地方标准实施妨碍商品、服务自由流通等排除、限制市场竞争的行为。加强标准监督，组织开展团体标准、企业标准监督检查。强化认证监管，探索建立认证机构长效监管机制，持续整治认证市场乱象。贯彻落实强制性产品认证制度改革要求，切实维护认证制度有效性。加强对免予办理强制性认证产品的后续监督管理。强化检验检测监管，加大对机动车检验、环境监测、食品、中介服务等行业检验检测机构的监管力度。</w:t>
      </w:r>
    </w:p>
    <w:p>
      <w:pPr>
        <w:ind w:firstLine="632"/>
        <w:outlineLvl w:val="2"/>
        <w:rPr>
          <w:vanish/>
        </w:rPr>
      </w:pPr>
      <w:r>
        <w:t>3</w:t>
      </w:r>
      <w:r>
        <w:rPr>
          <w:rFonts w:hint="eastAsia"/>
        </w:rPr>
        <w:t>.</w:t>
      </w:r>
      <w:r>
        <w:rPr>
          <w:rFonts w:hint="eastAsia"/>
          <w:b/>
          <w:bCs/>
        </w:rPr>
        <w:t>规范在线新经济市场秩序</w:t>
      </w:r>
      <w:r>
        <w:rPr>
          <w:rFonts w:hint="eastAsia"/>
        </w:rPr>
        <w:t>。</w:t>
      </w:r>
    </w:p>
    <w:p>
      <w:pPr>
        <w:ind w:firstLine="634"/>
        <w:outlineLvl w:val="3"/>
        <w:rPr>
          <w:vanish/>
        </w:rPr>
      </w:pPr>
      <w:r>
        <w:rPr>
          <w:rFonts w:hint="eastAsia"/>
          <w:b/>
        </w:rPr>
        <w:t>强化网络市场协同监管</w:t>
      </w:r>
      <w:r>
        <w:rPr>
          <w:rFonts w:hint="eastAsia"/>
        </w:rPr>
        <w:t>。</w:t>
      </w:r>
    </w:p>
    <w:p>
      <w:pPr>
        <w:ind w:firstLine="632"/>
        <w:rPr>
          <w:vanish/>
        </w:rPr>
      </w:pPr>
      <w:r>
        <w:rPr>
          <w:rFonts w:hint="eastAsia"/>
        </w:rPr>
        <w:t>发挥协同管网作用，推进网络市场监管体系一体化建设，建立完善有序高效的网络违法协查机制，强化监管数据共享共用，探索建立跨区域、跨部门、跨平台的失信联合惩戒机制。完善网络交易监管主体数据库，强化网络市场监测监管，推动网络交易平台与监管平台数据交换与共享。督促电商经营者落实法定责任和义务，规范电商经营行为，建立完善电商领域政企协作机制，形成多元共治局面。</w:t>
      </w:r>
    </w:p>
    <w:p>
      <w:pPr>
        <w:ind w:firstLine="634"/>
        <w:outlineLvl w:val="3"/>
        <w:rPr>
          <w:vanish/>
        </w:rPr>
      </w:pPr>
      <w:r>
        <w:rPr>
          <w:rFonts w:hint="eastAsia"/>
          <w:b/>
        </w:rPr>
        <w:t>推动网络市场综合监管</w:t>
      </w:r>
      <w:r>
        <w:rPr>
          <w:rFonts w:hint="eastAsia"/>
        </w:rPr>
        <w:t>。</w:t>
      </w:r>
    </w:p>
    <w:p>
      <w:pPr>
        <w:ind w:firstLine="632"/>
        <w:rPr>
          <w:vanish/>
        </w:rPr>
      </w:pPr>
      <w:r>
        <w:rPr>
          <w:rFonts w:hint="eastAsia"/>
        </w:rPr>
        <w:t>持续推进线上线下一体化监管，提升监管执法效能，严厉打击各类线上突出违法行为。制定网络交易平台责任清单，督促网络交易平台落实主体责任。推动平台企业落实对平台内经营者的资质、产品质量等审核把关和监督责任。以食品药品、保健用品、防疫用品、老人儿童用品等民生商品为重点，加强网络经营行为监管。探索完善线上市场准入、产品质量、价格监管、广告监管等综合监管机制，推动网络交易跨区域执法协作，严厉打击销售假冒伪劣、虚假宣传、消费欺诈等线上突出违法行为，净化网络市场环境。</w:t>
      </w:r>
    </w:p>
    <w:p>
      <w:pPr>
        <w:ind w:firstLine="634"/>
        <w:outlineLvl w:val="3"/>
        <w:rPr>
          <w:vanish/>
        </w:rPr>
      </w:pPr>
      <w:r>
        <w:rPr>
          <w:rFonts w:hint="eastAsia"/>
          <w:b/>
          <w:bCs/>
        </w:rPr>
        <w:t>提高线上线下一体化监管水平</w:t>
      </w:r>
      <w:r>
        <w:rPr>
          <w:rFonts w:hint="eastAsia"/>
        </w:rPr>
        <w:t>。</w:t>
      </w:r>
    </w:p>
    <w:p>
      <w:pPr>
        <w:ind w:firstLine="632"/>
      </w:pPr>
      <w:r>
        <w:rPr>
          <w:rFonts w:hint="eastAsia"/>
        </w:rPr>
        <w:t>聚焦直播带货、社区团购等新产业新业态新模式，推动监管方式方法的迭代升级。各业务条线线下监管工作向线上延伸，实现市场监管职能在线上领域的全覆盖。在监管资源的优化配置、监管方法和实践的创新完善、队伍和技术能力支撑等方面，加快适应线上监管需要。推进跨部门、跨领域、跨区域执法联动，推动形成生产、流通、销售全链条打击和线上线下融合发展的知识产权保护态势。开展关键领域、重点环节、重点群体“亮剑护航”行政执法专项行动，加强电子商务领域执法，加大对商标恶意注册申请人和代理机构的监管和查处。深入开展市场流通领域行业乱象和突出问题专项整治，加大假冒注册商标、销售假冒注册商标商品行为联合打击整治力度。推广使用企业知识产权保护指南、合同范本和维权流程等操作指引，研究出台沈阳市电商平台知识产权保护措施办法。持续开展打击侵犯知识产权和制售假冒伪劣商品行动，严厉查处不符合强制性标准、掺杂掺假、以假充真、以次充好、以不合格产品冒充合格产品，未经认证擅自出厂、销售</w:t>
      </w:r>
      <w:r>
        <w:t>CCC</w:t>
      </w:r>
      <w:r>
        <w:rPr>
          <w:rFonts w:hint="eastAsia"/>
        </w:rPr>
        <w:t>认证目录内产品等违法行为。推广应用侵权假冒线索智能检测系统。推动侵权损害评估工作。落实侵权惩罚性赔偿制度安排，加大对恶意侵权重复侵权的惩戒力度，规制恶意诉讼。加强行政执法和刑事司法的衔接。强化对侵犯商业秘密行为的查处。推动企业侵权假冒信息在全国信用信息共享平台（辽宁）上公示。</w:t>
      </w:r>
    </w:p>
    <w:p>
      <w:pPr>
        <w:ind w:firstLine="632"/>
        <w:outlineLvl w:val="1"/>
        <w:rPr>
          <w:rFonts w:ascii="楷体_GB2312" w:eastAsia="楷体_GB2312"/>
        </w:rPr>
      </w:pPr>
      <w:r>
        <w:rPr>
          <w:rFonts w:hint="eastAsia" w:ascii="楷体_GB2312" w:eastAsia="楷体_GB2312"/>
        </w:rPr>
        <w:t>（三）努力打造“吃得放心、买得放心、用得放心”的市场消费环境</w:t>
      </w:r>
    </w:p>
    <w:p>
      <w:pPr>
        <w:ind w:firstLine="632"/>
      </w:pPr>
      <w:r>
        <w:rPr>
          <w:rFonts w:hint="eastAsia"/>
        </w:rPr>
        <w:t>统筹发展和安全，深入贯彻“四个最严”要求，</w:t>
      </w:r>
      <w:bookmarkStart w:id="7" w:name="_Hlk98408295"/>
      <w:r>
        <w:rPr>
          <w:rFonts w:hint="eastAsia"/>
        </w:rPr>
        <w:t>对涉及人民群众身体健康和生命财产安全、公共安全的特殊行业、重点领域，加强全覆盖重点监管，强化消费者权益保护</w:t>
      </w:r>
      <w:bookmarkEnd w:id="7"/>
      <w:r>
        <w:rPr>
          <w:rFonts w:hint="eastAsia"/>
        </w:rPr>
        <w:t>，构建和完善产品设施安全可靠、人民群众放心消费的安全市场环境。</w:t>
      </w:r>
    </w:p>
    <w:p>
      <w:pPr>
        <w:ind w:firstLine="632"/>
        <w:outlineLvl w:val="2"/>
        <w:rPr>
          <w:vanish/>
        </w:rPr>
      </w:pPr>
      <w:r>
        <w:t>1</w:t>
      </w:r>
      <w:r>
        <w:rPr>
          <w:rFonts w:hint="eastAsia"/>
        </w:rPr>
        <w:t>.</w:t>
      </w:r>
      <w:r>
        <w:rPr>
          <w:rFonts w:hint="eastAsia"/>
          <w:b/>
        </w:rPr>
        <w:t>提高食品安全保障水平</w:t>
      </w:r>
      <w:r>
        <w:rPr>
          <w:rFonts w:hint="eastAsia"/>
        </w:rPr>
        <w:t>。</w:t>
      </w:r>
    </w:p>
    <w:p>
      <w:pPr>
        <w:ind w:firstLine="634"/>
        <w:rPr>
          <w:rFonts w:ascii="仿宋_GB2312"/>
          <w:vanish/>
        </w:rPr>
      </w:pPr>
      <w:r>
        <w:rPr>
          <w:rFonts w:hint="eastAsia" w:ascii="仿宋_GB2312"/>
          <w:b/>
          <w:bCs/>
        </w:rPr>
        <w:t>落实食品安全党政同责</w:t>
      </w:r>
      <w:r>
        <w:rPr>
          <w:rFonts w:hint="eastAsia" w:ascii="仿宋_GB2312"/>
        </w:rPr>
        <w:t>。</w:t>
      </w:r>
    </w:p>
    <w:p>
      <w:pPr>
        <w:ind w:firstLine="632"/>
        <w:rPr>
          <w:rFonts w:ascii="仿宋_GB2312" w:cs="仿宋"/>
          <w:vanish/>
        </w:rPr>
      </w:pPr>
      <w:r>
        <w:rPr>
          <w:rFonts w:hint="eastAsia" w:ascii="仿宋_GB2312"/>
        </w:rPr>
        <w:t>全面实</w:t>
      </w:r>
      <w:r>
        <w:rPr>
          <w:rFonts w:hint="eastAsia" w:ascii="仿宋_GB2312" w:cs="仿宋"/>
        </w:rPr>
        <w:t>施食品安全战略，</w:t>
      </w:r>
      <w:r>
        <w:rPr>
          <w:rFonts w:hint="eastAsia" w:ascii="仿宋_GB2312"/>
        </w:rPr>
        <w:t>深入开展食品安全示范城市创建活动。完善食品安全工作评议考核机制，</w:t>
      </w:r>
      <w:r>
        <w:rPr>
          <w:rFonts w:hint="eastAsia" w:ascii="仿宋_GB2312" w:hAnsi="Calibri"/>
        </w:rPr>
        <w:t>压实各级党委</w:t>
      </w:r>
      <w:r>
        <w:rPr>
          <w:rFonts w:hint="eastAsia" w:ascii="仿宋_GB2312" w:hAnsi="Calibri"/>
          <w:lang w:eastAsia="zh-CN"/>
        </w:rPr>
        <w:t>、</w:t>
      </w:r>
      <w:r>
        <w:rPr>
          <w:rFonts w:hint="eastAsia" w:ascii="仿宋_GB2312" w:hAnsi="Calibri"/>
        </w:rPr>
        <w:t>政府的食品安全属地管理责任。加强各级食品安全领导小组及其办公室建设，协调解决跨部门跨地区重大问题。建立健全部门协调配合机制，依法履行食品安全监管责任和行业管理责任。依法</w:t>
      </w:r>
      <w:r>
        <w:rPr>
          <w:rFonts w:hint="eastAsia" w:ascii="仿宋_GB2312" w:cs="仿宋"/>
        </w:rPr>
        <w:t>推进校园食品安全守护行动、农村假冒伪劣食品治理行动、餐饮质量安全提升行动、婴幼儿配方乳粉质量提升行动、保健食品行业专项清理整治行动。</w:t>
      </w:r>
    </w:p>
    <w:p>
      <w:pPr>
        <w:ind w:firstLine="634"/>
        <w:rPr>
          <w:rFonts w:ascii="仿宋_GB2312" w:cs="仿宋"/>
          <w:vanish/>
        </w:rPr>
      </w:pPr>
      <w:r>
        <w:rPr>
          <w:rFonts w:hint="eastAsia" w:ascii="仿宋_GB2312" w:cs="仿宋"/>
          <w:b/>
          <w:bCs/>
        </w:rPr>
        <w:t>完善食品安全治理体系</w:t>
      </w:r>
      <w:r>
        <w:rPr>
          <w:rFonts w:hint="eastAsia" w:ascii="仿宋_GB2312" w:cs="仿宋"/>
        </w:rPr>
        <w:t>。</w:t>
      </w:r>
    </w:p>
    <w:p>
      <w:pPr>
        <w:ind w:firstLine="632"/>
        <w:rPr>
          <w:rFonts w:ascii="仿宋_GB2312" w:cs="仿宋"/>
          <w:vanish/>
        </w:rPr>
      </w:pPr>
      <w:r>
        <w:rPr>
          <w:rFonts w:hint="eastAsia" w:ascii="仿宋_GB2312" w:cs="仿宋"/>
        </w:rPr>
        <w:t>严格市场准入，实行风险分级管理，强化标准实施，建立健全监管和执法体系，严把生产加工、流通销售、餐饮服务等环节质量安全关，加强相关从业人员健康检查，提高全过程全链条监管能力。督促食品生产经营者落实主体责任。推进特殊食品企业、高风险大型和为学校供餐的中央厨房等食品企业率先建立实施危害分析和关键控制点体系，实施良好生产规范等质量管理规范要求，建立健全自查制度，加强全过程质量安全控制。鼓励企业建立完善食品安全追溯体系，引导大型食品生产、经营企业购买食品安全责任保险。完善餐饮服务食品安全日常监管制度，形成科学完备的餐饮业质量安全监管体系。全面落实网络餐饮“食安封签”制度，实现全市“食安封签”全覆盖。</w:t>
      </w:r>
    </w:p>
    <w:p>
      <w:pPr>
        <w:ind w:firstLine="634"/>
        <w:outlineLvl w:val="3"/>
        <w:rPr>
          <w:rFonts w:ascii="仿宋_GB2312" w:cs="仿宋"/>
          <w:vanish/>
        </w:rPr>
      </w:pPr>
      <w:r>
        <w:rPr>
          <w:rFonts w:hint="eastAsia" w:ascii="仿宋_GB2312" w:cs="仿宋"/>
          <w:b/>
          <w:bCs/>
        </w:rPr>
        <w:t>强化特殊食品安全监管</w:t>
      </w:r>
      <w:r>
        <w:rPr>
          <w:rFonts w:hint="eastAsia" w:ascii="仿宋_GB2312" w:cs="仿宋"/>
        </w:rPr>
        <w:t>。</w:t>
      </w:r>
    </w:p>
    <w:p>
      <w:pPr>
        <w:ind w:firstLine="632"/>
        <w:rPr>
          <w:rFonts w:ascii="仿宋_GB2312" w:cs="仿宋"/>
          <w:vanish/>
        </w:rPr>
      </w:pPr>
      <w:r>
        <w:rPr>
          <w:rFonts w:hint="eastAsia" w:ascii="仿宋_GB2312" w:cs="仿宋"/>
        </w:rPr>
        <w:t>强化对特殊食品生产环节的日常监管，针对风险点开展重点检查，依职权查处违法违规行为。对学校食堂、农村食品市场、旅游景区等重点场所开展专项整治，加强网络订餐监管。加大粮食质量监管力度，防止不符合食品安全标准的粮食流入口粮市场和食品生产企业。</w:t>
      </w:r>
    </w:p>
    <w:p>
      <w:pPr>
        <w:ind w:firstLine="634"/>
        <w:outlineLvl w:val="3"/>
        <w:rPr>
          <w:rFonts w:ascii="仿宋_GB2312" w:cs="仿宋"/>
          <w:vanish/>
        </w:rPr>
      </w:pPr>
      <w:r>
        <w:rPr>
          <w:rFonts w:hint="eastAsia" w:ascii="仿宋_GB2312" w:cs="仿宋"/>
          <w:b/>
          <w:bCs/>
        </w:rPr>
        <w:t>推进食品安全监管检查体制改革</w:t>
      </w:r>
      <w:r>
        <w:rPr>
          <w:rFonts w:hint="eastAsia" w:ascii="仿宋_GB2312" w:cs="仿宋"/>
        </w:rPr>
        <w:t>。</w:t>
      </w:r>
    </w:p>
    <w:p>
      <w:pPr>
        <w:ind w:firstLine="632"/>
        <w:rPr>
          <w:rFonts w:ascii="仿宋_GB2312" w:cs="仿宋"/>
        </w:rPr>
      </w:pPr>
      <w:r>
        <w:rPr>
          <w:rFonts w:hint="eastAsia" w:ascii="仿宋_GB2312" w:cs="仿宋"/>
        </w:rPr>
        <w:t>发挥市食品安全专家库作用，建立专业化、职业化食品检查员队伍。完善以问题为导向的抽检监测机制，推动监督抽检、风险监测与评价性抽检分离，提高对高风险、低合格率食品的抽检频次。完善抽检监测信息通报机制，依法及时公开抽检信息，加强不合格产品的核查处置。强化食品安全突发事件应急处置。</w:t>
      </w:r>
    </w:p>
    <w:tbl>
      <w:tblPr>
        <w:tblStyle w:val="9"/>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844" w:type="dxa"/>
            <w:tcBorders>
              <w:top w:val="nil"/>
              <w:left w:val="nil"/>
              <w:right w:val="nil"/>
            </w:tcBorders>
            <w:vAlign w:val="center"/>
          </w:tcPr>
          <w:p>
            <w:pPr>
              <w:spacing w:line="20" w:lineRule="exact"/>
              <w:ind w:firstLine="0" w:firstLineChars="0"/>
              <w:jc w:val="center"/>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8844" w:type="dxa"/>
            <w:vAlign w:val="center"/>
          </w:tcPr>
          <w:p>
            <w:pPr>
              <w:spacing w:line="465" w:lineRule="exact"/>
              <w:ind w:firstLine="0" w:firstLineChars="0"/>
              <w:jc w:val="center"/>
              <w:rPr>
                <w:sz w:val="28"/>
                <w:szCs w:val="28"/>
              </w:rPr>
            </w:pPr>
            <w:r>
              <w:rPr>
                <w:rFonts w:hint="eastAsia" w:ascii="黑体" w:hAnsi="黑体" w:eastAsia="黑体"/>
                <w:sz w:val="28"/>
                <w:szCs w:val="28"/>
              </w:rPr>
              <w:t>专栏</w:t>
            </w:r>
            <w:r>
              <w:rPr>
                <w:rFonts w:eastAsia="黑体"/>
                <w:sz w:val="28"/>
                <w:szCs w:val="28"/>
              </w:rPr>
              <w:t>1</w:t>
            </w:r>
            <w:r>
              <w:rPr>
                <w:rFonts w:hint="eastAsia" w:eastAsia="黑体"/>
                <w:sz w:val="28"/>
                <w:szCs w:val="28"/>
              </w:rPr>
              <w:t>　</w:t>
            </w:r>
            <w:r>
              <w:rPr>
                <w:rFonts w:hint="eastAsia" w:ascii="黑体" w:hAnsi="黑体" w:eastAsia="黑体"/>
                <w:sz w:val="28"/>
                <w:szCs w:val="28"/>
              </w:rPr>
              <w:t>统筹推进食品安全放心工程专项行动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844" w:type="dxa"/>
            <w:tcBorders>
              <w:bottom w:val="nil"/>
            </w:tcBorders>
            <w:shd w:val="clear" w:color="auto" w:fill="auto"/>
            <w:vAlign w:val="center"/>
          </w:tcPr>
          <w:p>
            <w:pPr>
              <w:spacing w:line="465" w:lineRule="exact"/>
              <w:ind w:firstLine="552"/>
              <w:rPr>
                <w:sz w:val="28"/>
                <w:szCs w:val="28"/>
              </w:rPr>
            </w:pPr>
            <w:r>
              <w:rPr>
                <w:rFonts w:hint="eastAsia" w:ascii="仿宋_GB2312" w:hAnsi="等线"/>
                <w:color w:val="000000"/>
                <w:sz w:val="28"/>
                <w:szCs w:val="28"/>
              </w:rPr>
              <w:t>（</w:t>
            </w:r>
            <w:r>
              <w:rPr>
                <w:color w:val="000000"/>
                <w:sz w:val="28"/>
                <w:szCs w:val="28"/>
              </w:rPr>
              <w:t>1</w:t>
            </w:r>
            <w:r>
              <w:rPr>
                <w:rFonts w:hint="eastAsia" w:ascii="仿宋_GB2312" w:hAnsi="等线"/>
                <w:color w:val="000000"/>
                <w:sz w:val="28"/>
                <w:szCs w:val="28"/>
              </w:rPr>
              <w:t>）推进校园食品安全守护行动。严格落实学校食品安全校长（园长）负责制，防范发生群体性食源性疾病事件。全面推行“明厨亮灶”，学生集体用餐配送单位“互联网</w:t>
            </w:r>
            <w:r>
              <w:rPr>
                <w:color w:val="000000"/>
                <w:sz w:val="28"/>
                <w:szCs w:val="28"/>
              </w:rPr>
              <w:t>+</w:t>
            </w:r>
            <w:r>
              <w:rPr>
                <w:rFonts w:hint="eastAsia" w:ascii="仿宋_GB2312" w:hAnsi="等线"/>
                <w:color w:val="000000"/>
                <w:sz w:val="28"/>
                <w:szCs w:val="28"/>
              </w:rPr>
              <w:t>明厨亮灶”实现全覆盖。对学校食堂、学生集体用餐配送单位、校园周边食品经营者实行全覆盖监督检查。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 w:hRule="atLeast"/>
          <w:jc w:val="center"/>
        </w:trPr>
        <w:tc>
          <w:tcPr>
            <w:tcW w:w="8844" w:type="dxa"/>
            <w:tcBorders>
              <w:top w:val="nil"/>
              <w:bottom w:val="nil"/>
            </w:tcBorders>
            <w:shd w:val="clear" w:color="auto" w:fill="auto"/>
            <w:vAlign w:val="center"/>
          </w:tcPr>
          <w:p>
            <w:pPr>
              <w:spacing w:line="465" w:lineRule="exact"/>
              <w:ind w:firstLine="552"/>
              <w:rPr>
                <w:sz w:val="28"/>
                <w:szCs w:val="28"/>
              </w:rPr>
            </w:pPr>
            <w:r>
              <w:rPr>
                <w:rFonts w:hint="eastAsia" w:ascii="仿宋_GB2312" w:hAnsi="等线"/>
                <w:color w:val="000000"/>
                <w:sz w:val="28"/>
                <w:szCs w:val="28"/>
              </w:rPr>
              <w:t>（</w:t>
            </w:r>
            <w:r>
              <w:rPr>
                <w:color w:val="000000"/>
                <w:sz w:val="28"/>
                <w:szCs w:val="28"/>
              </w:rPr>
              <w:t>2</w:t>
            </w:r>
            <w:r>
              <w:rPr>
                <w:rFonts w:hint="eastAsia" w:ascii="仿宋_GB2312" w:hAnsi="等线"/>
                <w:color w:val="000000"/>
                <w:sz w:val="28"/>
                <w:szCs w:val="28"/>
              </w:rPr>
              <w:t>）推进农村假冒伪劣食品治理行动。以农村地区、城乡结合部为主战场，全面清理食品经营主体资格，严厉打击经营“三无”食品、假冒食品、劣质食品、过期食品等违法违规行为，实现风险隐患排查整治常态化。逐步建立规范的农村食品流通供应体系，净化农村消费市场，提高农村食品安全保障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844" w:type="dxa"/>
            <w:tcBorders>
              <w:top w:val="nil"/>
            </w:tcBorders>
            <w:shd w:val="clear" w:color="auto" w:fill="auto"/>
            <w:vAlign w:val="center"/>
          </w:tcPr>
          <w:p>
            <w:pPr>
              <w:spacing w:line="465" w:lineRule="exact"/>
              <w:ind w:firstLine="552"/>
              <w:rPr>
                <w:sz w:val="28"/>
                <w:szCs w:val="28"/>
              </w:rPr>
            </w:pPr>
            <w:r>
              <w:rPr>
                <w:rFonts w:hint="eastAsia" w:ascii="仿宋_GB2312" w:hAnsi="等线"/>
                <w:color w:val="000000"/>
                <w:sz w:val="28"/>
                <w:szCs w:val="28"/>
              </w:rPr>
              <w:t>（</w:t>
            </w:r>
            <w:r>
              <w:rPr>
                <w:color w:val="000000"/>
                <w:sz w:val="28"/>
                <w:szCs w:val="28"/>
              </w:rPr>
              <w:t>3</w:t>
            </w:r>
            <w:r>
              <w:rPr>
                <w:rFonts w:hint="eastAsia" w:ascii="仿宋_GB2312" w:hAnsi="等线"/>
                <w:color w:val="000000"/>
                <w:sz w:val="28"/>
                <w:szCs w:val="28"/>
              </w:rPr>
              <w:t>）推进餐饮质量安全提升行动。不断提升“明厨亮灶”覆盖面，实施“明厨亮灶</w:t>
            </w:r>
            <w:r>
              <w:rPr>
                <w:color w:val="000000"/>
                <w:sz w:val="28"/>
                <w:szCs w:val="28"/>
              </w:rPr>
              <w:t>+</w:t>
            </w:r>
            <w:r>
              <w:rPr>
                <w:rFonts w:hint="eastAsia" w:ascii="仿宋_GB2312" w:hAnsi="等线"/>
                <w:color w:val="000000"/>
                <w:sz w:val="28"/>
                <w:szCs w:val="28"/>
              </w:rPr>
              <w:t>互联网”监管。坚持“以网管网”，全面落实网络餐饮第三方平台及入网餐饮服务提供者食品安全主体责任，持续推进“食安封签”全域投放，促进网络餐饮规范有序健康发展。实施餐饮安全风险分级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 w:hRule="atLeast"/>
          <w:jc w:val="center"/>
        </w:trPr>
        <w:tc>
          <w:tcPr>
            <w:tcW w:w="8844" w:type="dxa"/>
            <w:tcBorders>
              <w:bottom w:val="nil"/>
            </w:tcBorders>
            <w:shd w:val="clear" w:color="auto" w:fill="auto"/>
            <w:vAlign w:val="center"/>
          </w:tcPr>
          <w:p>
            <w:pPr>
              <w:spacing w:line="465" w:lineRule="exact"/>
              <w:ind w:firstLine="0" w:firstLineChars="0"/>
              <w:rPr>
                <w:rFonts w:ascii="仿宋_GB2312" w:hAnsi="等线"/>
                <w:color w:val="000000"/>
                <w:sz w:val="28"/>
                <w:szCs w:val="28"/>
              </w:rPr>
            </w:pPr>
            <w:r>
              <w:rPr>
                <w:rFonts w:hint="eastAsia" w:ascii="仿宋_GB2312" w:hAnsi="等线"/>
                <w:color w:val="000000"/>
                <w:sz w:val="28"/>
                <w:szCs w:val="28"/>
              </w:rPr>
              <w:t>管理，支持餐饮服务企业发展连锁经营和中央厨房，提升餐饮行业标准化水平。</w:t>
            </w:r>
          </w:p>
          <w:p>
            <w:pPr>
              <w:spacing w:line="465" w:lineRule="exact"/>
              <w:ind w:firstLine="552"/>
              <w:rPr>
                <w:sz w:val="28"/>
                <w:szCs w:val="28"/>
              </w:rPr>
            </w:pPr>
            <w:r>
              <w:rPr>
                <w:rFonts w:hint="eastAsia" w:ascii="仿宋_GB2312" w:hAnsi="等线"/>
                <w:color w:val="000000"/>
                <w:sz w:val="28"/>
                <w:szCs w:val="28"/>
              </w:rPr>
              <w:t>（</w:t>
            </w:r>
            <w:r>
              <w:rPr>
                <w:color w:val="000000"/>
                <w:sz w:val="28"/>
                <w:szCs w:val="28"/>
              </w:rPr>
              <w:t>4</w:t>
            </w:r>
            <w:r>
              <w:rPr>
                <w:rFonts w:hint="eastAsia" w:ascii="仿宋_GB2312" w:hAnsi="等线"/>
                <w:color w:val="000000"/>
                <w:sz w:val="28"/>
                <w:szCs w:val="28"/>
              </w:rPr>
              <w:t>）推进婴幼儿配方乳粉质量提升行动。严格落实企业主体责任和各级政府属地管理责任，健全全行业、全链条产品质量安全管理体系。进一步夯实属地监管责任体系，各级政府对本地区婴幼儿配方乳粉质量安全负总责。在婴幼儿配方乳粉生产企业全面实施良好生产规范、危害分析和关键控制点体系。完善企业“批批全检”的检验制度，健全安全生产规范体系检查常态化机制。规范婴幼儿配方乳粉标识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8844" w:type="dxa"/>
            <w:tcBorders>
              <w:top w:val="nil"/>
              <w:bottom w:val="nil"/>
            </w:tcBorders>
            <w:shd w:val="clear" w:color="auto" w:fill="auto"/>
            <w:vAlign w:val="center"/>
          </w:tcPr>
          <w:p>
            <w:pPr>
              <w:spacing w:line="465" w:lineRule="exact"/>
              <w:ind w:firstLine="552"/>
              <w:rPr>
                <w:sz w:val="28"/>
                <w:szCs w:val="28"/>
              </w:rPr>
            </w:pPr>
            <w:r>
              <w:rPr>
                <w:rFonts w:hint="eastAsia" w:ascii="仿宋_GB2312" w:hAnsi="等线"/>
                <w:color w:val="000000"/>
                <w:sz w:val="28"/>
                <w:szCs w:val="28"/>
              </w:rPr>
              <w:t>（</w:t>
            </w:r>
            <w:r>
              <w:rPr>
                <w:color w:val="000000"/>
                <w:sz w:val="28"/>
                <w:szCs w:val="28"/>
              </w:rPr>
              <w:t>5</w:t>
            </w:r>
            <w:r>
              <w:rPr>
                <w:rFonts w:hint="eastAsia" w:ascii="仿宋_GB2312" w:hAnsi="等线"/>
                <w:color w:val="000000"/>
                <w:sz w:val="28"/>
                <w:szCs w:val="28"/>
              </w:rPr>
              <w:t>）推进保健食品行业专项清理整治行动。全面开展严厉打击保健食品欺诈和虚假宣传、虚假广告等违法犯罪行为。广泛开展以老年人识骗、防骗为主要内容的宣传教育活动。加大联合执法力度，大力整治保健食品市场经营秩序，严厉查处各种非法销售保健食品行为，打击传销。完善保健食品标准和标签标识管理。做好消费者维权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 w:hRule="atLeast"/>
          <w:jc w:val="center"/>
        </w:trPr>
        <w:tc>
          <w:tcPr>
            <w:tcW w:w="8844" w:type="dxa"/>
            <w:tcBorders>
              <w:top w:val="nil"/>
            </w:tcBorders>
            <w:shd w:val="clear" w:color="auto" w:fill="auto"/>
            <w:vAlign w:val="center"/>
          </w:tcPr>
          <w:p>
            <w:pPr>
              <w:spacing w:line="20" w:lineRule="exact"/>
              <w:ind w:firstLine="0" w:firstLineChars="0"/>
              <w:jc w:val="center"/>
              <w:rPr>
                <w:rFonts w:ascii="黑体" w:hAnsi="黑体" w:eastAsia="黑体"/>
                <w:sz w:val="28"/>
                <w:szCs w:val="28"/>
              </w:rPr>
            </w:pPr>
          </w:p>
        </w:tc>
      </w:tr>
    </w:tbl>
    <w:p>
      <w:pPr>
        <w:ind w:firstLine="632"/>
        <w:outlineLvl w:val="2"/>
        <w:rPr>
          <w:vanish/>
        </w:rPr>
      </w:pPr>
      <w:r>
        <w:t>2.</w:t>
      </w:r>
      <w:r>
        <w:rPr>
          <w:rFonts w:hint="eastAsia"/>
          <w:b/>
          <w:bCs/>
        </w:rPr>
        <w:t>提高药械化质量安全保障水平</w:t>
      </w:r>
      <w:r>
        <w:rPr>
          <w:rFonts w:hint="eastAsia"/>
        </w:rPr>
        <w:t>。</w:t>
      </w:r>
    </w:p>
    <w:p>
      <w:pPr>
        <w:ind w:firstLine="634"/>
        <w:outlineLvl w:val="3"/>
        <w:rPr>
          <w:vanish/>
        </w:rPr>
      </w:pPr>
      <w:r>
        <w:rPr>
          <w:rFonts w:hint="eastAsia"/>
          <w:b/>
          <w:bCs/>
        </w:rPr>
        <w:t>优化监管资源配置</w:t>
      </w:r>
      <w:r>
        <w:rPr>
          <w:rFonts w:hint="eastAsia"/>
        </w:rPr>
        <w:t>。</w:t>
      </w:r>
    </w:p>
    <w:p>
      <w:pPr>
        <w:ind w:firstLine="632"/>
        <w:rPr>
          <w:vanish/>
        </w:rPr>
      </w:pPr>
      <w:r>
        <w:rPr>
          <w:rFonts w:hint="eastAsia"/>
        </w:rPr>
        <w:t>健全多部门协同的药品（含化妆品、医疗器械）安全治理机制和监管体系，完善药品安全管理制度。深入推进药品安全整治行动，强化药品质量监管和新业态监管。实行药品安全风险分类、分级管理和动态监控。有序推进市、县两级疫苗质量监管体系建设，加强预防接种单位监管。逐步实现药品最小包装单元来源可查、去向可追。</w:t>
      </w:r>
    </w:p>
    <w:p>
      <w:pPr>
        <w:ind w:firstLine="634"/>
        <w:outlineLvl w:val="3"/>
        <w:rPr>
          <w:vanish/>
        </w:rPr>
      </w:pPr>
      <w:r>
        <w:rPr>
          <w:rFonts w:hint="eastAsia"/>
          <w:b/>
          <w:bCs/>
        </w:rPr>
        <w:t>加强对重点品种、重点环节、重点领域的检查核查</w:t>
      </w:r>
      <w:r>
        <w:rPr>
          <w:rFonts w:hint="eastAsia"/>
        </w:rPr>
        <w:t>。</w:t>
      </w:r>
    </w:p>
    <w:p>
      <w:pPr>
        <w:ind w:firstLine="632"/>
        <w:rPr>
          <w:vanish/>
        </w:rPr>
      </w:pPr>
      <w:r>
        <w:rPr>
          <w:rFonts w:hint="eastAsia"/>
        </w:rPr>
        <w:t>严厉打击药品领域售假、虚假广告、非法经营、商业贿赂等违法犯罪行为。组织开展专项整治和专项检查行动，逐步解决药品安全领域的突出问题。以有因抽检为主体，加大对国家集中采购中选药品、无菌和植入类医疗器械、特殊化妆品等重点品种监督抽检力度。针对特殊药品、疫苗、血液制品、无菌药品、国家集中采购中选药品、易成瘾易滥用药品、三类医疗器械产品、儿童化妆品、特殊化妆品等重点品种，药品购销渠道、储存条件等重点环节，农村及城乡结合部等重点区域实施重点监管，确保高风险产品质量安全。强化处罚到人，完善药品监管行刑衔接工作制度。</w:t>
      </w:r>
    </w:p>
    <w:p>
      <w:pPr>
        <w:ind w:firstLine="634"/>
        <w:outlineLvl w:val="3"/>
        <w:rPr>
          <w:vanish/>
        </w:rPr>
      </w:pPr>
      <w:r>
        <w:rPr>
          <w:rFonts w:hint="eastAsia"/>
          <w:b/>
          <w:bCs/>
        </w:rPr>
        <w:t>健全完善市、县两级药品不良反应监测评价体系</w:t>
      </w:r>
      <w:r>
        <w:rPr>
          <w:rFonts w:hint="eastAsia"/>
        </w:rPr>
        <w:t>。</w:t>
      </w:r>
    </w:p>
    <w:p>
      <w:pPr>
        <w:ind w:firstLine="632"/>
      </w:pPr>
      <w:r>
        <w:rPr>
          <w:rFonts w:hint="eastAsia"/>
        </w:rPr>
        <w:t>推进药品医疗器械不良反应</w:t>
      </w:r>
      <w:r>
        <w:t>/</w:t>
      </w:r>
      <w:r>
        <w:rPr>
          <w:rFonts w:hint="eastAsia"/>
        </w:rPr>
        <w:t>事件监测哨点、化妆品不良反应监测评价能力建设。推进药品安全诚信体系建设，强化市场主体安全责任，构建多元和谐的社会共治格局。</w:t>
      </w:r>
    </w:p>
    <w:p>
      <w:pPr>
        <w:ind w:firstLine="632"/>
        <w:outlineLvl w:val="2"/>
        <w:rPr>
          <w:vanish/>
        </w:rPr>
      </w:pPr>
      <w:r>
        <w:t>3</w:t>
      </w:r>
      <w:r>
        <w:rPr>
          <w:rFonts w:hint="eastAsia" w:ascii="仿宋_GB2312"/>
        </w:rPr>
        <w:t>.</w:t>
      </w:r>
      <w:r>
        <w:rPr>
          <w:rFonts w:hint="eastAsia" w:ascii="仿宋_GB2312"/>
          <w:b/>
          <w:bCs/>
        </w:rPr>
        <w:t>提高特种设备安全保障水平</w:t>
      </w:r>
      <w:r>
        <w:rPr>
          <w:rFonts w:hint="eastAsia"/>
        </w:rPr>
        <w:t>。</w:t>
      </w:r>
    </w:p>
    <w:p>
      <w:pPr>
        <w:ind w:firstLine="634"/>
        <w:outlineLvl w:val="3"/>
        <w:rPr>
          <w:vanish/>
        </w:rPr>
      </w:pPr>
      <w:r>
        <w:rPr>
          <w:rFonts w:hint="eastAsia"/>
          <w:b/>
          <w:bCs/>
        </w:rPr>
        <w:t>完善风险管控和隐患治理双重预防机制</w:t>
      </w:r>
      <w:r>
        <w:rPr>
          <w:rFonts w:hint="eastAsia"/>
        </w:rPr>
        <w:t>。</w:t>
      </w:r>
    </w:p>
    <w:p>
      <w:pPr>
        <w:ind w:firstLine="632"/>
        <w:rPr>
          <w:vanish/>
        </w:rPr>
      </w:pPr>
      <w:r>
        <w:rPr>
          <w:rFonts w:hint="eastAsia"/>
        </w:rPr>
        <w:t>督促生产使用单位开展安全风险自辨自控、隐患自查自治，对特种设备安全隐患实施动态管理，压实企业安全主体责任。综合运用目标考核、督查检查、行政约谈、挂牌督办等方式，落实地方党委</w:t>
      </w:r>
      <w:r>
        <w:rPr>
          <w:rFonts w:hint="eastAsia"/>
          <w:lang w:eastAsia="zh-CN"/>
        </w:rPr>
        <w:t>、</w:t>
      </w:r>
      <w:r>
        <w:rPr>
          <w:rFonts w:hint="eastAsia"/>
        </w:rPr>
        <w:t>政府责任和属地监管责任。建立健全部门齐抓共管机制，落实行业监管部门责任。加强特种设备监督检验和定期检验，落实检验机构技术支撑和检验把关责任。</w:t>
      </w:r>
    </w:p>
    <w:p>
      <w:pPr>
        <w:ind w:firstLine="634"/>
        <w:outlineLvl w:val="3"/>
        <w:rPr>
          <w:vanish/>
        </w:rPr>
      </w:pPr>
      <w:r>
        <w:rPr>
          <w:rFonts w:hint="eastAsia"/>
          <w:b/>
          <w:bCs/>
        </w:rPr>
        <w:t>开展特种设备风险分级管控和隐患排查治理行动</w:t>
      </w:r>
      <w:r>
        <w:rPr>
          <w:rFonts w:hint="eastAsia"/>
        </w:rPr>
        <w:t>。</w:t>
      </w:r>
    </w:p>
    <w:p>
      <w:pPr>
        <w:ind w:firstLine="632"/>
        <w:rPr>
          <w:vanish/>
        </w:rPr>
      </w:pPr>
      <w:r>
        <w:rPr>
          <w:rFonts w:hint="eastAsia"/>
        </w:rPr>
        <w:t>有针对性地开展风险隐患大排查大整治，突出对液化气瓶、供暖锅炉、压力容器、燃气相关特种设备、大型游乐设施、人员密集场所电梯的隐患排查整治，采取有力措施，扎实推进对地下压力管道的检验检测，排除隐蔽致灾隐患</w:t>
      </w:r>
      <w:r>
        <w:rPr>
          <w:rFonts w:hint="eastAsia" w:ascii="仿宋_GB2312"/>
        </w:rPr>
        <w:t>。</w:t>
      </w:r>
      <w:r>
        <w:rPr>
          <w:rFonts w:hint="eastAsia"/>
        </w:rPr>
        <w:t>加强特种设备事故预防、调查处理、统计分析工作，提升突发事件应对处置能力。</w:t>
      </w:r>
    </w:p>
    <w:p>
      <w:pPr>
        <w:ind w:firstLine="634"/>
        <w:outlineLvl w:val="3"/>
        <w:rPr>
          <w:vanish/>
        </w:rPr>
      </w:pPr>
      <w:r>
        <w:rPr>
          <w:rFonts w:hint="eastAsia"/>
          <w:b/>
          <w:bCs/>
        </w:rPr>
        <w:t>推进电梯安全监管改革</w:t>
      </w:r>
      <w:r>
        <w:rPr>
          <w:rFonts w:hint="eastAsia"/>
        </w:rPr>
        <w:t>。</w:t>
      </w:r>
    </w:p>
    <w:p>
      <w:pPr>
        <w:ind w:firstLine="632"/>
      </w:pPr>
      <w:r>
        <w:rPr>
          <w:rFonts w:hint="eastAsia"/>
        </w:rPr>
        <w:t>推广电梯专业运营模式，以定期检验检测促进电梯安全责任保险覆盖率提升。推进电梯按需维保和调整检验检测方式改革，强化使用单位自行检测责任和检验对电梯质量安全的技术监督作用。全面推广电梯、气瓶安全责任保险制度。</w:t>
      </w:r>
    </w:p>
    <w:p>
      <w:pPr>
        <w:ind w:firstLine="632"/>
        <w:outlineLvl w:val="2"/>
        <w:rPr>
          <w:vanish/>
        </w:rPr>
      </w:pPr>
      <w:r>
        <w:t>4.</w:t>
      </w:r>
      <w:r>
        <w:rPr>
          <w:rFonts w:hint="eastAsia"/>
          <w:b/>
          <w:bCs/>
        </w:rPr>
        <w:t>提高工业产品质量安全保障水平</w:t>
      </w:r>
      <w:r>
        <w:rPr>
          <w:rFonts w:hint="eastAsia"/>
        </w:rPr>
        <w:t>。</w:t>
      </w:r>
    </w:p>
    <w:p>
      <w:pPr>
        <w:ind w:firstLine="634"/>
        <w:outlineLvl w:val="3"/>
        <w:rPr>
          <w:vanish/>
        </w:rPr>
      </w:pPr>
      <w:r>
        <w:rPr>
          <w:rFonts w:hint="eastAsia"/>
          <w:b/>
          <w:bCs/>
        </w:rPr>
        <w:t>完善产品质量安全监管机制</w:t>
      </w:r>
      <w:r>
        <w:rPr>
          <w:rFonts w:hint="eastAsia"/>
        </w:rPr>
        <w:t>。</w:t>
      </w:r>
    </w:p>
    <w:p>
      <w:pPr>
        <w:ind w:firstLine="632"/>
        <w:rPr>
          <w:vanish/>
        </w:rPr>
      </w:pPr>
      <w:r>
        <w:rPr>
          <w:rFonts w:hint="eastAsia"/>
        </w:rPr>
        <w:t>构建以生产许可、监督抽查、风险监测、专项整治等监管工具为主体，以质量体检、质量分析、信用监管、合格证制度、缺陷召回为补充的产品质量安全监管体系。全面规范产品合格证制度落地实施，鼓励企业参加产品质量安全责任保险，有效落实生产者、销售者的质量安全主体责任。</w:t>
      </w:r>
    </w:p>
    <w:p>
      <w:pPr>
        <w:ind w:firstLine="634"/>
        <w:outlineLvl w:val="3"/>
        <w:rPr>
          <w:vanish/>
        </w:rPr>
      </w:pPr>
      <w:r>
        <w:rPr>
          <w:rFonts w:hint="eastAsia"/>
          <w:b/>
          <w:bCs/>
        </w:rPr>
        <w:t>加强工业产品生产许可准入审核</w:t>
      </w:r>
      <w:r>
        <w:rPr>
          <w:rFonts w:hint="eastAsia"/>
        </w:rPr>
        <w:t>。</w:t>
      </w:r>
    </w:p>
    <w:p>
      <w:pPr>
        <w:ind w:firstLine="632"/>
        <w:rPr>
          <w:rFonts w:ascii="仿宋_GB2312"/>
          <w:vanish/>
        </w:rPr>
      </w:pPr>
      <w:r>
        <w:rPr>
          <w:rFonts w:hint="eastAsia"/>
        </w:rPr>
        <w:t>规范监督检查程序，强化事中事后监管。加强产品质量监督抽查，坚持生产流通联动、线上线下联动、遴选机构、“抽检分离”、过程管理等工作制度。严格抽查不合格企业后处理，及时发布消费提示。加强产品潜在质量风险、新型产品质量风险、产品生产过程风险监测。建立质量安全监测预警机制，及时跟踪监测和防范化解行业性、区域性产品质量安全风险。探索建立质量追溯机制，压实企业主体责任，配合相关部门推动企业建立主要消费品质量安全追溯体系，实现产品质量安全问题可追溯</w:t>
      </w:r>
      <w:r>
        <w:rPr>
          <w:rFonts w:hint="eastAsia" w:ascii="仿宋_GB2312"/>
        </w:rPr>
        <w:t>。</w:t>
      </w:r>
      <w:r>
        <w:rPr>
          <w:rFonts w:hint="eastAsia"/>
        </w:rPr>
        <w:t>制定工业产品质量安全责任指南，完善商品安全责任追究制度</w:t>
      </w:r>
      <w:r>
        <w:rPr>
          <w:rFonts w:hint="eastAsia" w:ascii="仿宋_GB2312"/>
        </w:rPr>
        <w:t>。</w:t>
      </w:r>
      <w:r>
        <w:rPr>
          <w:rFonts w:hint="eastAsia"/>
        </w:rPr>
        <w:t>推进落实产品质量安全事故强制报告和调查处理制度</w:t>
      </w:r>
      <w:r>
        <w:rPr>
          <w:rFonts w:hint="eastAsia" w:ascii="仿宋_GB2312"/>
        </w:rPr>
        <w:t>。</w:t>
      </w:r>
    </w:p>
    <w:p>
      <w:pPr>
        <w:ind w:firstLine="634"/>
        <w:outlineLvl w:val="3"/>
        <w:rPr>
          <w:vanish/>
        </w:rPr>
      </w:pPr>
      <w:r>
        <w:rPr>
          <w:rFonts w:hint="eastAsia"/>
          <w:b/>
          <w:bCs/>
        </w:rPr>
        <w:t>实施企业“提质行动”</w:t>
      </w:r>
      <w:r>
        <w:rPr>
          <w:rFonts w:hint="eastAsia"/>
        </w:rPr>
        <w:t>。</w:t>
      </w:r>
    </w:p>
    <w:p>
      <w:pPr>
        <w:ind w:firstLine="632"/>
      </w:pPr>
      <w:r>
        <w:rPr>
          <w:rFonts w:hint="eastAsia"/>
        </w:rPr>
        <w:t>组织重点行业开展企业内部实验室能力比对，从源头上保证产品质量</w:t>
      </w:r>
      <w:r>
        <w:rPr>
          <w:rFonts w:hint="eastAsia" w:ascii="仿宋_GB2312"/>
        </w:rPr>
        <w:t>。</w:t>
      </w:r>
      <w:r>
        <w:rPr>
          <w:rFonts w:hint="eastAsia"/>
        </w:rPr>
        <w:t>探索建立首席标准官制度，引导支持企业积极参与标准化良好行为创建，企业标准领跑者评估认定，开展企业标准水平对标达标提升行动，实施团体标准培优计划，助推企业标准化能力水平提升。开展产品质量“对标行动”，选取沈阳重点产品，与国内外标杆产品进行执行标准和质量指标比对研究，开展质量攻关，扩大中高端产品供给</w:t>
      </w:r>
      <w:r>
        <w:rPr>
          <w:rFonts w:hint="eastAsia" w:ascii="仿宋_GB2312"/>
        </w:rPr>
        <w:t>。</w:t>
      </w:r>
      <w:r>
        <w:rPr>
          <w:rFonts w:hint="eastAsia"/>
        </w:rPr>
        <w:t>实施内外销产品同线同标同质工程</w:t>
      </w:r>
      <w:r>
        <w:rPr>
          <w:rFonts w:hint="eastAsia" w:ascii="仿宋_GB2312"/>
        </w:rPr>
        <w:t>。</w:t>
      </w:r>
      <w:r>
        <w:rPr>
          <w:rFonts w:hint="eastAsia"/>
        </w:rPr>
        <w:t>将“三同”适用范围适时推广到一般消费品、工业品等领域，引导企业入驻“三同”公共信息服务平台，支持企业出口产品开拓国内市场</w:t>
      </w:r>
      <w:r>
        <w:rPr>
          <w:rFonts w:hint="eastAsia" w:ascii="仿宋_GB2312"/>
        </w:rPr>
        <w:t>。</w:t>
      </w:r>
    </w:p>
    <w:p>
      <w:pPr>
        <w:ind w:firstLine="632"/>
        <w:outlineLvl w:val="2"/>
        <w:rPr>
          <w:rFonts w:ascii="仿宋_GB2312"/>
          <w:vanish/>
        </w:rPr>
      </w:pPr>
      <w:r>
        <w:rPr>
          <w:rFonts w:eastAsia="楷体_GB2312"/>
        </w:rPr>
        <w:t>5</w:t>
      </w:r>
      <w:r>
        <w:rPr>
          <w:rFonts w:hint="eastAsia" w:ascii="仿宋_GB2312"/>
        </w:rPr>
        <w:t>.</w:t>
      </w:r>
      <w:r>
        <w:rPr>
          <w:rFonts w:hint="eastAsia" w:ascii="仿宋_GB2312"/>
          <w:b/>
          <w:bCs/>
        </w:rPr>
        <w:t>提高消费者权益保护工作水平</w:t>
      </w:r>
      <w:r>
        <w:rPr>
          <w:rFonts w:hint="eastAsia" w:ascii="仿宋_GB2312"/>
        </w:rPr>
        <w:t>。</w:t>
      </w:r>
    </w:p>
    <w:p>
      <w:pPr>
        <w:ind w:firstLine="634"/>
        <w:outlineLvl w:val="3"/>
        <w:rPr>
          <w:rFonts w:ascii="仿宋_GB2312"/>
          <w:vanish/>
        </w:rPr>
      </w:pPr>
      <w:r>
        <w:rPr>
          <w:rFonts w:hint="eastAsia"/>
          <w:b/>
          <w:bCs/>
        </w:rPr>
        <w:t>推动建立消费维权协作机制</w:t>
      </w:r>
      <w:r>
        <w:rPr>
          <w:rFonts w:hint="eastAsia" w:ascii="仿宋_GB2312"/>
        </w:rPr>
        <w:t>。</w:t>
      </w:r>
    </w:p>
    <w:p>
      <w:pPr>
        <w:ind w:firstLine="632"/>
        <w:rPr>
          <w:rFonts w:ascii="仿宋_GB2312"/>
          <w:vanish/>
        </w:rPr>
      </w:pPr>
      <w:r>
        <w:rPr>
          <w:rFonts w:hint="eastAsia"/>
        </w:rPr>
        <w:t>树立消费环境建设“全周期”管理意识，探索建立“全链条”监管、“全覆盖”服务的消费环境治理体系，推动形成政府、消费者协会、行业协会、企业、平台经营者、媒体等多位一体的消费维权格局，形成工作合力，统筹解决消费维权热点难点问题。加强预付卡消费和消费者个人信息安全部门联合综合治理</w:t>
      </w:r>
      <w:r>
        <w:rPr>
          <w:rFonts w:hint="eastAsia" w:ascii="仿宋_GB2312"/>
        </w:rPr>
        <w:t>。</w:t>
      </w:r>
    </w:p>
    <w:p>
      <w:pPr>
        <w:ind w:firstLine="634"/>
        <w:outlineLvl w:val="3"/>
        <w:rPr>
          <w:rFonts w:ascii="仿宋_GB2312"/>
          <w:vanish/>
        </w:rPr>
      </w:pPr>
      <w:r>
        <w:rPr>
          <w:rFonts w:hint="eastAsia"/>
          <w:b/>
          <w:bCs/>
        </w:rPr>
        <w:t>健全消费信用约束机制</w:t>
      </w:r>
      <w:r>
        <w:rPr>
          <w:rFonts w:hint="eastAsia" w:ascii="仿宋_GB2312"/>
        </w:rPr>
        <w:t>。</w:t>
      </w:r>
    </w:p>
    <w:p>
      <w:pPr>
        <w:ind w:firstLine="632"/>
        <w:rPr>
          <w:rFonts w:ascii="仿宋_GB2312"/>
          <w:vanish/>
        </w:rPr>
      </w:pPr>
      <w:r>
        <w:rPr>
          <w:rFonts w:hint="eastAsia"/>
        </w:rPr>
        <w:t>广泛开展保障产品和服务质量经营者承诺公示，依法向社会公开产品抽检结果、缺陷产品召回等信息，探索建立消费者投诉及处理结果公示制度，倒逼经营者诚信经营、提高服务质量</w:t>
      </w:r>
      <w:r>
        <w:rPr>
          <w:rFonts w:hint="eastAsia" w:ascii="仿宋_GB2312"/>
        </w:rPr>
        <w:t>。</w:t>
      </w:r>
      <w:r>
        <w:rPr>
          <w:rFonts w:hint="eastAsia"/>
        </w:rPr>
        <w:t>建设以消费者满意度调查为基础的区域消费环境综合评价体系</w:t>
      </w:r>
      <w:r>
        <w:rPr>
          <w:rFonts w:hint="eastAsia" w:ascii="仿宋_GB2312"/>
        </w:rPr>
        <w:t>。</w:t>
      </w:r>
      <w:r>
        <w:rPr>
          <w:rFonts w:hint="eastAsia"/>
        </w:rPr>
        <w:t>引导平台企业建立餐饮、家政、售后服务等服务后评价制度，推动评价信息公开</w:t>
      </w:r>
      <w:r>
        <w:rPr>
          <w:rFonts w:hint="eastAsia" w:ascii="仿宋_GB2312"/>
        </w:rPr>
        <w:t>。</w:t>
      </w:r>
      <w:r>
        <w:rPr>
          <w:rFonts w:hint="eastAsia"/>
        </w:rPr>
        <w:t>鼓励实施线下购物无理由退货，探索异地异店退换货制度。完善消费领域守信激励和失信惩戒机制，进一步提升违法成本</w:t>
      </w:r>
      <w:r>
        <w:rPr>
          <w:rFonts w:hint="eastAsia" w:ascii="仿宋_GB2312"/>
        </w:rPr>
        <w:t>。</w:t>
      </w:r>
    </w:p>
    <w:p>
      <w:pPr>
        <w:ind w:firstLine="634"/>
        <w:outlineLvl w:val="3"/>
        <w:rPr>
          <w:rFonts w:ascii="仿宋_GB2312"/>
          <w:vanish/>
        </w:rPr>
      </w:pPr>
      <w:r>
        <w:rPr>
          <w:rFonts w:hint="eastAsia"/>
          <w:b/>
          <w:bCs/>
        </w:rPr>
        <w:t>优化消费教育与预警、法律援助机制</w:t>
      </w:r>
      <w:r>
        <w:rPr>
          <w:rFonts w:hint="eastAsia" w:ascii="仿宋_GB2312"/>
        </w:rPr>
        <w:t>。</w:t>
      </w:r>
    </w:p>
    <w:p>
      <w:pPr>
        <w:ind w:firstLine="632"/>
        <w:rPr>
          <w:rFonts w:ascii="仿宋_GB2312"/>
          <w:vanish/>
        </w:rPr>
      </w:pPr>
      <w:r>
        <w:rPr>
          <w:rFonts w:hint="eastAsia"/>
        </w:rPr>
        <w:t>发挥消费者协会主体作用，利用商品比较试验、消费体察、消费讲堂等手段措施，引导消费者接受文明健康、节约资源和保护环境的消费方式</w:t>
      </w:r>
      <w:r>
        <w:rPr>
          <w:rFonts w:hint="eastAsia" w:ascii="仿宋_GB2312"/>
        </w:rPr>
        <w:t>。</w:t>
      </w:r>
      <w:r>
        <w:rPr>
          <w:rFonts w:hint="eastAsia"/>
        </w:rPr>
        <w:t>围绕解决消费纠纷、规避消费矛盾、防范消费陷阱等，发布典型案例和消费提示</w:t>
      </w:r>
      <w:r>
        <w:rPr>
          <w:rFonts w:hint="eastAsia" w:ascii="仿宋_GB2312"/>
        </w:rPr>
        <w:t>。</w:t>
      </w:r>
      <w:r>
        <w:rPr>
          <w:rFonts w:hint="eastAsia"/>
        </w:rPr>
        <w:t>完善诉调对接工作机制</w:t>
      </w:r>
      <w:r>
        <w:rPr>
          <w:rFonts w:hint="eastAsia" w:ascii="仿宋_GB2312"/>
        </w:rPr>
        <w:t>。</w:t>
      </w:r>
      <w:r>
        <w:rPr>
          <w:rFonts w:hint="eastAsia"/>
        </w:rPr>
        <w:t>组建律师维权志愿团队，为消费者维权提供法律援助</w:t>
      </w:r>
      <w:r>
        <w:rPr>
          <w:rFonts w:hint="eastAsia" w:ascii="仿宋_GB2312"/>
        </w:rPr>
        <w:t>。</w:t>
      </w:r>
    </w:p>
    <w:p>
      <w:pPr>
        <w:ind w:firstLine="634"/>
        <w:outlineLvl w:val="3"/>
        <w:rPr>
          <w:rFonts w:ascii="仿宋_GB2312"/>
          <w:vanish/>
        </w:rPr>
      </w:pPr>
      <w:r>
        <w:rPr>
          <w:rFonts w:hint="eastAsia"/>
          <w:b/>
          <w:bCs/>
        </w:rPr>
        <w:t>开展“放心消费在沈阳行动”</w:t>
      </w:r>
      <w:r>
        <w:rPr>
          <w:rFonts w:hint="eastAsia" w:ascii="仿宋_GB2312"/>
        </w:rPr>
        <w:t>。</w:t>
      </w:r>
    </w:p>
    <w:p>
      <w:pPr>
        <w:ind w:firstLine="632"/>
      </w:pPr>
      <w:r>
        <w:rPr>
          <w:rFonts w:hint="eastAsia"/>
        </w:rPr>
        <w:t>全面推进放心消费创建，开展商品消费、服务消费、乡村消费等放心消费工程，探索建立消费环节经营者首问和赔偿先付制度，</w:t>
      </w:r>
      <w:bookmarkStart w:id="8" w:name="_Hlk96333483"/>
      <w:r>
        <w:rPr>
          <w:rFonts w:hint="eastAsia"/>
        </w:rPr>
        <w:t>建立统一、权威、高效的投诉举报受理平台，完善消费纠纷多元化解决机制，加强重点领域、重点人群消费监管，切实解决好群众身边的“关键小事”</w:t>
      </w:r>
      <w:bookmarkEnd w:id="8"/>
      <w:r>
        <w:rPr>
          <w:rFonts w:hint="eastAsia"/>
        </w:rPr>
        <w:t>。</w:t>
      </w:r>
    </w:p>
    <w:p>
      <w:pPr>
        <w:ind w:firstLine="632"/>
        <w:outlineLvl w:val="2"/>
      </w:pPr>
      <w:r>
        <w:t>6.</w:t>
      </w:r>
      <w:r>
        <w:rPr>
          <w:rFonts w:hint="eastAsia"/>
          <w:b/>
          <w:bCs/>
        </w:rPr>
        <w:t>开展消费品质量安全专项行动</w:t>
      </w:r>
      <w:r>
        <w:rPr>
          <w:rFonts w:hint="eastAsia"/>
        </w:rPr>
        <w:t>。</w:t>
      </w:r>
    </w:p>
    <w:tbl>
      <w:tblPr>
        <w:tblStyle w:val="9"/>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863" w:type="dxa"/>
            <w:tcBorders>
              <w:top w:val="nil"/>
              <w:left w:val="nil"/>
              <w:right w:val="nil"/>
            </w:tcBorders>
            <w:vAlign w:val="center"/>
          </w:tcPr>
          <w:p>
            <w:pPr>
              <w:snapToGrid w:val="0"/>
              <w:spacing w:line="14" w:lineRule="exact"/>
              <w:ind w:firstLine="0" w:firstLineChars="0"/>
              <w:jc w:val="center"/>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3" w:type="dxa"/>
            <w:vAlign w:val="center"/>
          </w:tcPr>
          <w:p>
            <w:pPr>
              <w:snapToGrid w:val="0"/>
              <w:spacing w:line="465" w:lineRule="exact"/>
              <w:ind w:firstLine="0" w:firstLineChars="0"/>
              <w:jc w:val="center"/>
              <w:rPr>
                <w:rFonts w:ascii="黑体" w:hAnsi="黑体" w:eastAsia="黑体"/>
                <w:sz w:val="28"/>
                <w:szCs w:val="28"/>
              </w:rPr>
            </w:pPr>
            <w:r>
              <w:rPr>
                <w:rFonts w:hint="eastAsia" w:ascii="黑体" w:hAnsi="黑体" w:eastAsia="黑体"/>
                <w:sz w:val="28"/>
                <w:szCs w:val="28"/>
              </w:rPr>
              <w:t>专栏</w:t>
            </w:r>
            <w:r>
              <w:rPr>
                <w:rFonts w:eastAsia="黑体"/>
                <w:sz w:val="28"/>
                <w:szCs w:val="28"/>
              </w:rPr>
              <w:t>2</w:t>
            </w:r>
            <w:r>
              <w:rPr>
                <w:rFonts w:hint="eastAsia" w:eastAsia="黑体"/>
                <w:sz w:val="28"/>
                <w:szCs w:val="28"/>
              </w:rPr>
              <w:t>　</w:t>
            </w:r>
            <w:r>
              <w:rPr>
                <w:rFonts w:hint="eastAsia" w:ascii="黑体" w:hAnsi="黑体" w:eastAsia="黑体"/>
                <w:sz w:val="28"/>
                <w:szCs w:val="28"/>
              </w:rPr>
              <w:t>开展消费品质量安全专项行动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863" w:type="dxa"/>
            <w:tcBorders>
              <w:bottom w:val="nil"/>
            </w:tcBorders>
            <w:shd w:val="clear" w:color="auto" w:fill="auto"/>
            <w:vAlign w:val="center"/>
          </w:tcPr>
          <w:p>
            <w:pPr>
              <w:snapToGrid w:val="0"/>
              <w:spacing w:line="460" w:lineRule="exact"/>
              <w:ind w:firstLine="552"/>
              <w:rPr>
                <w:sz w:val="28"/>
                <w:szCs w:val="28"/>
              </w:rPr>
            </w:pPr>
            <w:r>
              <w:rPr>
                <w:rFonts w:hint="eastAsia" w:ascii="仿宋_GB2312" w:hAnsi="等线"/>
                <w:color w:val="000000"/>
                <w:sz w:val="28"/>
                <w:szCs w:val="28"/>
              </w:rPr>
              <w:t>（</w:t>
            </w:r>
            <w:r>
              <w:rPr>
                <w:color w:val="000000"/>
                <w:sz w:val="28"/>
                <w:szCs w:val="28"/>
              </w:rPr>
              <w:t>1</w:t>
            </w:r>
            <w:r>
              <w:rPr>
                <w:rFonts w:hint="eastAsia" w:ascii="仿宋_GB2312" w:hAnsi="等线"/>
                <w:color w:val="000000"/>
                <w:sz w:val="28"/>
                <w:szCs w:val="28"/>
              </w:rPr>
              <w:t>）突出食品相关产品，保障“吃得安全”。针对塑料制品、纸制品、餐具洗涤剂等食品相关产品持续开展专项整治，督促企业重点抓好原材料入厂把关和出厂检验等生产过程关键环节，采取推进质量安全体系建设、加强宣传教育等措施，推动企业落实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1" w:hRule="atLeast"/>
          <w:jc w:val="center"/>
        </w:trPr>
        <w:tc>
          <w:tcPr>
            <w:tcW w:w="8863" w:type="dxa"/>
            <w:tcBorders>
              <w:top w:val="nil"/>
              <w:bottom w:val="nil"/>
            </w:tcBorders>
            <w:shd w:val="clear" w:color="auto" w:fill="auto"/>
            <w:vAlign w:val="center"/>
          </w:tcPr>
          <w:p>
            <w:pPr>
              <w:snapToGrid w:val="0"/>
              <w:spacing w:line="460" w:lineRule="exact"/>
              <w:ind w:firstLine="552"/>
              <w:rPr>
                <w:sz w:val="28"/>
                <w:szCs w:val="28"/>
              </w:rPr>
            </w:pPr>
            <w:r>
              <w:rPr>
                <w:rFonts w:hint="eastAsia" w:ascii="仿宋_GB2312" w:hAnsi="等线"/>
                <w:color w:val="000000"/>
                <w:sz w:val="28"/>
                <w:szCs w:val="28"/>
              </w:rPr>
              <w:t>（</w:t>
            </w:r>
            <w:r>
              <w:rPr>
                <w:color w:val="000000"/>
                <w:sz w:val="28"/>
                <w:szCs w:val="28"/>
              </w:rPr>
              <w:t>2</w:t>
            </w:r>
            <w:r>
              <w:rPr>
                <w:rFonts w:hint="eastAsia" w:ascii="仿宋_GB2312" w:hAnsi="等线"/>
                <w:color w:val="000000"/>
                <w:sz w:val="28"/>
                <w:szCs w:val="28"/>
              </w:rPr>
              <w:t>）突出校服、服装等纤维产品，保障“穿得安全”。聚焦儿童及婴幼儿服装、妇女服装、泳衣、毛巾等消费者需求旺盛的产品，从严开展安全监管，重点检测甲醛含量、可分解致癌芳香胺染料等化学性指标。聚焦校服、絮用纤维制品等，加强规章制度的宣贯，加大监督检查与抽查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863" w:type="dxa"/>
            <w:tcBorders>
              <w:top w:val="nil"/>
            </w:tcBorders>
            <w:shd w:val="clear" w:color="auto" w:fill="auto"/>
            <w:vAlign w:val="center"/>
          </w:tcPr>
          <w:p>
            <w:pPr>
              <w:snapToGrid w:val="0"/>
              <w:spacing w:line="460" w:lineRule="exact"/>
              <w:ind w:firstLine="552"/>
              <w:rPr>
                <w:sz w:val="28"/>
                <w:szCs w:val="28"/>
              </w:rPr>
            </w:pPr>
            <w:r>
              <w:rPr>
                <w:rFonts w:hint="eastAsia" w:ascii="仿宋_GB2312" w:hAnsi="等线"/>
                <w:color w:val="000000"/>
                <w:sz w:val="28"/>
                <w:szCs w:val="28"/>
              </w:rPr>
              <w:t>（</w:t>
            </w:r>
            <w:r>
              <w:rPr>
                <w:color w:val="000000"/>
                <w:sz w:val="28"/>
                <w:szCs w:val="28"/>
              </w:rPr>
              <w:t>3</w:t>
            </w:r>
            <w:r>
              <w:rPr>
                <w:rFonts w:hint="eastAsia" w:ascii="仿宋_GB2312" w:hAnsi="等线"/>
                <w:color w:val="000000"/>
                <w:sz w:val="28"/>
                <w:szCs w:val="28"/>
              </w:rPr>
              <w:t>）突出建筑装饰装修材料等家居业产品，保障“住得安全”。联合行业协会开展建材类产品质量提升行动。围绕建筑防水卷材、家具、板材、油漆、涂料等建筑装饰装修材料，聚焦城乡接合部、农村建材市场等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8863" w:type="dxa"/>
            <w:tcBorders>
              <w:bottom w:val="nil"/>
            </w:tcBorders>
            <w:shd w:val="clear" w:color="auto" w:fill="auto"/>
            <w:vAlign w:val="center"/>
          </w:tcPr>
          <w:p>
            <w:pPr>
              <w:snapToGrid w:val="0"/>
              <w:spacing w:line="460" w:lineRule="exact"/>
              <w:ind w:firstLine="0" w:firstLineChars="0"/>
              <w:rPr>
                <w:rFonts w:ascii="仿宋_GB2312" w:hAnsi="等线"/>
                <w:color w:val="000000"/>
                <w:sz w:val="28"/>
                <w:szCs w:val="28"/>
              </w:rPr>
            </w:pPr>
            <w:r>
              <w:rPr>
                <w:rFonts w:hint="eastAsia" w:ascii="仿宋_GB2312" w:hAnsi="等线"/>
                <w:color w:val="000000"/>
                <w:sz w:val="28"/>
                <w:szCs w:val="28"/>
              </w:rPr>
              <w:t>重点场所，开展市场监督检查。有针对性地组织“靶向式”抽查，重点检测甲醛、苯、二甲苯等化学性指标，对抽查不合格产品加大处置力度。</w:t>
            </w:r>
          </w:p>
          <w:p>
            <w:pPr>
              <w:snapToGrid w:val="0"/>
              <w:spacing w:line="460" w:lineRule="exact"/>
              <w:ind w:firstLine="552"/>
              <w:rPr>
                <w:sz w:val="28"/>
                <w:szCs w:val="28"/>
              </w:rPr>
            </w:pPr>
            <w:r>
              <w:rPr>
                <w:rFonts w:hint="eastAsia" w:ascii="仿宋_GB2312" w:hAnsi="等线"/>
                <w:color w:val="000000"/>
                <w:sz w:val="28"/>
                <w:szCs w:val="28"/>
              </w:rPr>
              <w:t>（</w:t>
            </w:r>
            <w:r>
              <w:rPr>
                <w:color w:val="000000"/>
                <w:sz w:val="28"/>
                <w:szCs w:val="28"/>
              </w:rPr>
              <w:t>4</w:t>
            </w:r>
            <w:r>
              <w:rPr>
                <w:rFonts w:hint="eastAsia" w:ascii="仿宋_GB2312" w:hAnsi="等线"/>
                <w:color w:val="000000"/>
                <w:sz w:val="28"/>
                <w:szCs w:val="28"/>
              </w:rPr>
              <w:t>）突出家电、儿童和学生用品等日用品，保障“用得安全”。针对电热毯、散热器、小家电、儿童玩具等日用品的质量安全突出问题，加强生产流通领域特别是网络交易市场的产品质量监督抽查。持续开展儿童和学生用品安全专项守护行动。重点整治和查处不符合强制性国家标准要求、特别是电气等安全不达标的产品，以及“三无”、假冒伪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863" w:type="dxa"/>
            <w:tcBorders>
              <w:top w:val="nil"/>
            </w:tcBorders>
            <w:shd w:val="clear" w:color="auto" w:fill="auto"/>
            <w:vAlign w:val="center"/>
          </w:tcPr>
          <w:p>
            <w:pPr>
              <w:snapToGrid w:val="0"/>
              <w:spacing w:line="460" w:lineRule="exact"/>
              <w:ind w:firstLine="552"/>
              <w:rPr>
                <w:sz w:val="28"/>
                <w:szCs w:val="28"/>
              </w:rPr>
            </w:pPr>
            <w:r>
              <w:rPr>
                <w:rFonts w:hint="eastAsia" w:ascii="仿宋_GB2312" w:hAnsi="等线"/>
                <w:color w:val="000000"/>
                <w:sz w:val="28"/>
                <w:szCs w:val="28"/>
              </w:rPr>
              <w:t>（</w:t>
            </w:r>
            <w:r>
              <w:rPr>
                <w:color w:val="000000"/>
                <w:sz w:val="28"/>
                <w:szCs w:val="28"/>
              </w:rPr>
              <w:t>5</w:t>
            </w:r>
            <w:r>
              <w:rPr>
                <w:rFonts w:hint="eastAsia" w:ascii="仿宋_GB2312" w:hAnsi="等线"/>
                <w:color w:val="000000"/>
                <w:sz w:val="28"/>
                <w:szCs w:val="28"/>
              </w:rPr>
              <w:t>）突出交通工具等出行用品，保障“行得安全”。聚焦轮胎、刹车片、蓄电池等产品，以及电动自行车等出行工具，突出检测安全指标，加大生产销售环节监督抽查力度。对擅自改装原厂配件、私自更换大功率蓄电池等违法行为，及时依法反馈给相关部门进行查处。</w:t>
            </w:r>
          </w:p>
        </w:tc>
      </w:tr>
    </w:tbl>
    <w:p>
      <w:pPr>
        <w:ind w:firstLine="632"/>
        <w:outlineLvl w:val="1"/>
        <w:rPr>
          <w:rFonts w:ascii="黑体" w:hAnsi="黑体" w:eastAsia="黑体"/>
        </w:rPr>
      </w:pPr>
      <w:r>
        <w:rPr>
          <w:rFonts w:hint="eastAsia" w:ascii="黑体" w:hAnsi="黑体" w:eastAsia="黑体"/>
        </w:rPr>
        <w:t>二、深入实施“两大”战略，全力打造高质量发展高地</w:t>
      </w:r>
    </w:p>
    <w:p>
      <w:pPr>
        <w:ind w:firstLine="632"/>
      </w:pPr>
      <w:r>
        <w:rPr>
          <w:rFonts w:hint="eastAsia"/>
        </w:rPr>
        <w:t>落实</w:t>
      </w:r>
      <w:bookmarkStart w:id="9" w:name="_Hlk98424238"/>
      <w:r>
        <w:rPr>
          <w:rFonts w:hint="eastAsia"/>
        </w:rPr>
        <w:t>《质量强国建设纲要》《知识产权强国建设纲要》《国家标准化发展纲要》</w:t>
      </w:r>
      <w:bookmarkEnd w:id="9"/>
      <w:r>
        <w:rPr>
          <w:rFonts w:hint="eastAsia"/>
        </w:rPr>
        <w:t>，</w:t>
      </w:r>
      <w:bookmarkStart w:id="10" w:name="_Hlk95213379"/>
      <w:r>
        <w:rPr>
          <w:rFonts w:hint="eastAsia"/>
        </w:rPr>
        <w:t>把质量强市、知识产权强市作为城市发展的长远战略，</w:t>
      </w:r>
      <w:bookmarkEnd w:id="10"/>
      <w:r>
        <w:rPr>
          <w:rFonts w:hint="eastAsia"/>
        </w:rPr>
        <w:t>以质量促发展、以知识产权保护和运用激励创新，在质量治理，质量提升，知识产权保护、创造和运用等方面积极探索，</w:t>
      </w:r>
      <w:bookmarkStart w:id="11" w:name="_Hlk95213437"/>
      <w:r>
        <w:rPr>
          <w:rFonts w:hint="eastAsia"/>
        </w:rPr>
        <w:t>推动我市经济发展进入质量时代。</w:t>
      </w:r>
      <w:bookmarkEnd w:id="11"/>
    </w:p>
    <w:p>
      <w:pPr>
        <w:ind w:firstLine="632"/>
        <w:outlineLvl w:val="1"/>
        <w:rPr>
          <w:rFonts w:ascii="楷体_GB2312" w:eastAsia="楷体_GB2312"/>
        </w:rPr>
      </w:pPr>
      <w:r>
        <w:rPr>
          <w:rFonts w:hint="eastAsia" w:ascii="楷体_GB2312" w:eastAsia="楷体_GB2312"/>
        </w:rPr>
        <w:t>（一）实施质量强市战略</w:t>
      </w:r>
    </w:p>
    <w:p>
      <w:pPr>
        <w:ind w:firstLine="632"/>
        <w:outlineLvl w:val="2"/>
        <w:rPr>
          <w:rFonts w:ascii="仿宋_GB2312"/>
          <w:vanish/>
        </w:rPr>
      </w:pPr>
      <w:r>
        <w:t>1</w:t>
      </w:r>
      <w:r>
        <w:rPr>
          <w:rFonts w:hint="eastAsia" w:ascii="仿宋_GB2312"/>
        </w:rPr>
        <w:t>.</w:t>
      </w:r>
      <w:r>
        <w:rPr>
          <w:rFonts w:hint="eastAsia" w:ascii="仿宋_GB2312"/>
          <w:b/>
          <w:bCs/>
        </w:rPr>
        <w:t>健全宏观质量政策体系</w:t>
      </w:r>
      <w:r>
        <w:rPr>
          <w:rFonts w:hint="eastAsia" w:ascii="仿宋_GB2312"/>
        </w:rPr>
        <w:t>。</w:t>
      </w:r>
    </w:p>
    <w:p>
      <w:pPr>
        <w:ind w:firstLine="634"/>
        <w:outlineLvl w:val="3"/>
        <w:rPr>
          <w:rFonts w:ascii="楷体_GB2312" w:eastAsia="楷体_GB2312"/>
          <w:vanish/>
        </w:rPr>
      </w:pPr>
      <w:r>
        <w:rPr>
          <w:rFonts w:hint="eastAsia" w:ascii="仿宋_GB2312"/>
          <w:b/>
          <w:bCs/>
        </w:rPr>
        <w:t>加强质量工作顶层设计</w:t>
      </w:r>
      <w:r>
        <w:rPr>
          <w:rFonts w:hint="eastAsia" w:ascii="楷体_GB2312" w:eastAsia="楷体_GB2312"/>
        </w:rPr>
        <w:t>。</w:t>
      </w:r>
    </w:p>
    <w:p>
      <w:pPr>
        <w:ind w:firstLine="632"/>
        <w:rPr>
          <w:vanish/>
        </w:rPr>
      </w:pPr>
      <w:r>
        <w:rPr>
          <w:rFonts w:hint="eastAsia" w:ascii="仿宋_GB2312"/>
        </w:rPr>
        <w:t>狠抓</w:t>
      </w:r>
      <w:r>
        <w:rPr>
          <w:rFonts w:hint="eastAsia"/>
        </w:rPr>
        <w:t>《质量强国建设纲要》《国家标准化发展纲要》</w:t>
      </w:r>
      <w:r>
        <w:rPr>
          <w:rFonts w:hint="eastAsia" w:ascii="仿宋_GB2312" w:hAnsi="楷体"/>
          <w:szCs w:val="32"/>
        </w:rPr>
        <w:t>《计量发展规划（</w:t>
      </w:r>
      <w:r>
        <w:rPr>
          <w:szCs w:val="32"/>
        </w:rPr>
        <w:t>2021</w:t>
      </w:r>
      <w:r>
        <w:rPr>
          <w:rFonts w:hint="eastAsia" w:ascii="仿宋_GB2312" w:hAnsi="楷体"/>
          <w:szCs w:val="32"/>
        </w:rPr>
        <w:t>—</w:t>
      </w:r>
      <w:r>
        <w:rPr>
          <w:szCs w:val="32"/>
        </w:rPr>
        <w:t>2035</w:t>
      </w:r>
      <w:r>
        <w:rPr>
          <w:rFonts w:hint="eastAsia" w:ascii="仿宋_GB2312" w:hAnsi="楷体"/>
          <w:szCs w:val="32"/>
        </w:rPr>
        <w:t>年）》《关于加强民生计量工作的指导意见》落实，逐步完善质量工作机制，优化</w:t>
      </w:r>
      <w:r>
        <w:rPr>
          <w:rFonts w:hint="eastAsia"/>
        </w:rPr>
        <w:t>质量评价考核、质量督查激励、质量标杆培育等制度，发挥沈阳市质量强市领导小组统筹协调作用</w:t>
      </w:r>
      <w:r>
        <w:rPr>
          <w:rFonts w:hint="eastAsia" w:ascii="仿宋_GB2312" w:hAnsi="Calibri"/>
          <w:szCs w:val="32"/>
        </w:rPr>
        <w:t>，形成质量工作合力</w:t>
      </w:r>
      <w:r>
        <w:rPr>
          <w:rFonts w:hint="eastAsia"/>
        </w:rPr>
        <w:t>。</w:t>
      </w:r>
    </w:p>
    <w:p>
      <w:pPr>
        <w:ind w:firstLine="634"/>
        <w:outlineLvl w:val="3"/>
        <w:rPr>
          <w:vanish/>
        </w:rPr>
      </w:pPr>
      <w:r>
        <w:rPr>
          <w:rFonts w:hint="eastAsia"/>
          <w:b/>
          <w:bCs/>
        </w:rPr>
        <w:t>完善质量激励政策</w:t>
      </w:r>
      <w:r>
        <w:rPr>
          <w:rFonts w:hint="eastAsia"/>
        </w:rPr>
        <w:t>。</w:t>
      </w:r>
    </w:p>
    <w:p>
      <w:pPr>
        <w:ind w:firstLine="632"/>
      </w:pPr>
      <w:r>
        <w:rPr>
          <w:rFonts w:hint="eastAsia"/>
        </w:rPr>
        <w:t>引导各类组织和个人积极申报中国质量奖、省长质量奖，建立政府质量奖获奖企业和个人先进质量管理经验宣传推广机制。持续深入开展“质量月”活动，推广应用卓越质量管理模式，提升全民质量素养，培育先进质量文化。</w:t>
      </w:r>
    </w:p>
    <w:p>
      <w:pPr>
        <w:ind w:firstLine="632"/>
        <w:outlineLvl w:val="2"/>
        <w:rPr>
          <w:rFonts w:ascii="仿宋_GB2312"/>
          <w:vanish/>
        </w:rPr>
      </w:pPr>
      <w:r>
        <w:t>2</w:t>
      </w:r>
      <w:r>
        <w:rPr>
          <w:rFonts w:hint="eastAsia"/>
        </w:rPr>
        <w:t>.</w:t>
      </w:r>
      <w:r>
        <w:rPr>
          <w:rFonts w:hint="eastAsia" w:ascii="仿宋_GB2312"/>
          <w:b/>
          <w:bCs/>
        </w:rPr>
        <w:t>深入实施质量提升行动</w:t>
      </w:r>
      <w:r>
        <w:rPr>
          <w:rFonts w:hint="eastAsia" w:ascii="仿宋_GB2312"/>
        </w:rPr>
        <w:t>。</w:t>
      </w:r>
    </w:p>
    <w:p>
      <w:pPr>
        <w:ind w:firstLine="634"/>
        <w:outlineLvl w:val="3"/>
        <w:rPr>
          <w:vanish/>
        </w:rPr>
      </w:pPr>
      <w:r>
        <w:rPr>
          <w:rFonts w:hint="eastAsia"/>
          <w:b/>
          <w:bCs/>
        </w:rPr>
        <w:t>部署开展质量提升</w:t>
      </w:r>
      <w:r>
        <w:t>3</w:t>
      </w:r>
      <w:r>
        <w:rPr>
          <w:rFonts w:hint="eastAsia"/>
          <w:b/>
          <w:bCs/>
        </w:rPr>
        <w:t>年专项行动</w:t>
      </w:r>
      <w:r>
        <w:rPr>
          <w:rFonts w:hint="eastAsia"/>
        </w:rPr>
        <w:t>。</w:t>
      </w:r>
    </w:p>
    <w:p>
      <w:pPr>
        <w:ind w:firstLine="632"/>
        <w:rPr>
          <w:vanish/>
        </w:rPr>
      </w:pPr>
      <w:r>
        <w:rPr>
          <w:rFonts w:hint="eastAsia"/>
        </w:rPr>
        <w:t>科学制订《沈阳市开展质量提升行动加快质量强市建设</w:t>
      </w:r>
      <w:r>
        <w:t>3</w:t>
      </w:r>
      <w:r>
        <w:rPr>
          <w:rFonts w:hint="eastAsia"/>
        </w:rPr>
        <w:t>年行动计划》，聚焦产品、工程、服务、人居、生态质量</w:t>
      </w:r>
      <w:r>
        <w:t>5</w:t>
      </w:r>
      <w:r>
        <w:rPr>
          <w:rFonts w:hint="eastAsia"/>
        </w:rPr>
        <w:t>大方面，组织开展装备制造业质量提升、新材料供给等</w:t>
      </w:r>
      <w:r>
        <w:t>16</w:t>
      </w:r>
      <w:r>
        <w:rPr>
          <w:rFonts w:hint="eastAsia"/>
        </w:rPr>
        <w:t>项质量提升行动，力争到</w:t>
      </w:r>
      <w:r>
        <w:t>2023</w:t>
      </w:r>
      <w:r>
        <w:rPr>
          <w:rFonts w:hint="eastAsia"/>
        </w:rPr>
        <w:t>年底实现产品质量不断提高，工程质量稳步提升，服务质量显著增强，人居质量逐步跃升，生态质量持续改善。</w:t>
      </w:r>
    </w:p>
    <w:p>
      <w:pPr>
        <w:ind w:firstLine="634"/>
        <w:outlineLvl w:val="3"/>
        <w:rPr>
          <w:vanish/>
        </w:rPr>
      </w:pPr>
      <w:r>
        <w:rPr>
          <w:rFonts w:hint="eastAsia"/>
          <w:b/>
          <w:bCs/>
        </w:rPr>
        <w:t>加大区域质量品牌培育力度</w:t>
      </w:r>
      <w:r>
        <w:rPr>
          <w:rFonts w:hint="eastAsia"/>
        </w:rPr>
        <w:t>。</w:t>
      </w:r>
    </w:p>
    <w:p>
      <w:pPr>
        <w:ind w:firstLine="632"/>
        <w:rPr>
          <w:vanish/>
        </w:rPr>
      </w:pPr>
      <w:r>
        <w:rPr>
          <w:rFonts w:hint="eastAsia"/>
        </w:rPr>
        <w:t>引导园区以质量打造品牌，以品牌引领园区经济发展，建设省级质量品牌提升示范区，争创国家质量品牌提升示范区，发挥区域内龙头企业带动作用，提升区域整体知名度和影响力。</w:t>
      </w:r>
      <w:r>
        <w:rPr>
          <w:rFonts w:hint="eastAsia"/>
          <w:szCs w:val="32"/>
        </w:rPr>
        <w:t>推进“三品、一标”高端产品品质认证和培育（辽宁优品、绿色产品、有机产品认证和地理标志产品培育）。筹建新民“新农寒富苹果国家地理标志产品保护示范区”</w:t>
      </w:r>
      <w:r>
        <w:rPr>
          <w:rFonts w:hint="eastAsia"/>
        </w:rPr>
        <w:t>，服务县域经济发展。提高品牌价值评价影响力。推出制造业企业、重点行业、重点区域品牌价值，让更多消费者关注沈阳品牌。跟踪重点参评企业和区域，对标国际国内标杆企业，动态提升品牌建设水平。</w:t>
      </w:r>
    </w:p>
    <w:p>
      <w:pPr>
        <w:ind w:firstLine="634"/>
        <w:outlineLvl w:val="3"/>
        <w:rPr>
          <w:vanish/>
        </w:rPr>
      </w:pPr>
      <w:r>
        <w:rPr>
          <w:rFonts w:hint="eastAsia"/>
          <w:b/>
          <w:bCs/>
        </w:rPr>
        <w:t>加强质量创新服务</w:t>
      </w:r>
      <w:r>
        <w:rPr>
          <w:rFonts w:hint="eastAsia"/>
        </w:rPr>
        <w:t>。</w:t>
      </w:r>
    </w:p>
    <w:p>
      <w:pPr>
        <w:ind w:firstLine="632"/>
      </w:pPr>
      <w:r>
        <w:rPr>
          <w:rFonts w:hint="eastAsia"/>
        </w:rPr>
        <w:t>完善质量评价体系，推动形成以制造业产品质量合格率、制造业质量竞争力指数、政府质量工作第三方评价等为主要内容的指标体系，其中制造业产品质量合格率达到</w:t>
      </w:r>
      <w:r>
        <w:t>95</w:t>
      </w:r>
      <w:r>
        <w:rPr>
          <w:rFonts w:hint="eastAsia"/>
        </w:rPr>
        <w:t>％以上，制造业质量竞争力指数达到</w:t>
      </w:r>
      <w:r>
        <w:t>86</w:t>
      </w:r>
      <w:r>
        <w:rPr>
          <w:rFonts w:hint="eastAsia"/>
        </w:rPr>
        <w:t>.</w:t>
      </w:r>
      <w:r>
        <w:t>5</w:t>
      </w:r>
      <w:r>
        <w:rPr>
          <w:rFonts w:hint="eastAsia"/>
        </w:rPr>
        <w:t>以上。配合省局开展消费品质量合格率测算和政府质量工作社会公众满意度调查。建立公共服务质量监测分析和综合评价制度，定期通报监测和评价结果，量化评价公共服务质量发展水平。落实省对市政府质量工作考核，推动形成创新、实效、科学的考评体系。</w:t>
      </w:r>
    </w:p>
    <w:p>
      <w:pPr>
        <w:ind w:firstLine="632"/>
        <w:outlineLvl w:val="2"/>
        <w:rPr>
          <w:vanish/>
        </w:rPr>
      </w:pPr>
      <w:r>
        <w:t>3</w:t>
      </w:r>
      <w:r>
        <w:rPr>
          <w:rFonts w:hint="eastAsia"/>
        </w:rPr>
        <w:t>.</w:t>
      </w:r>
      <w:r>
        <w:rPr>
          <w:rFonts w:hint="eastAsia"/>
          <w:b/>
          <w:bCs/>
        </w:rPr>
        <w:t>构建适配新时代要求的质量基础设施</w:t>
      </w:r>
      <w:r>
        <w:rPr>
          <w:rFonts w:hint="eastAsia"/>
        </w:rPr>
        <w:t>。</w:t>
      </w:r>
    </w:p>
    <w:p>
      <w:pPr>
        <w:ind w:firstLine="634"/>
        <w:outlineLvl w:val="3"/>
        <w:rPr>
          <w:vanish/>
        </w:rPr>
      </w:pPr>
      <w:r>
        <w:rPr>
          <w:rFonts w:hint="eastAsia"/>
          <w:b/>
          <w:bCs/>
        </w:rPr>
        <w:t>强化标准的引领作用</w:t>
      </w:r>
      <w:r>
        <w:rPr>
          <w:rFonts w:hint="eastAsia"/>
        </w:rPr>
        <w:t>。</w:t>
      </w:r>
    </w:p>
    <w:p>
      <w:pPr>
        <w:ind w:firstLine="632"/>
        <w:rPr>
          <w:vanish/>
        </w:rPr>
      </w:pPr>
      <w:r>
        <w:rPr>
          <w:rFonts w:hint="eastAsia"/>
        </w:rPr>
        <w:t>贯彻落实《国家标准化发展纲要》《关于“十四五”推动高质量发展的国家标准体系建设规划的通知》，制订《沈阳市贯彻落实国家标准化纲要实施方案》，完善标准化推进激励工作机制，构建政府主导与市场自主制定协同发展的标准供给体系。实施技术标准战略，与标准化组织进行战略合作，参与国内外标准化建设，推动标准国际互认和境外推广应用，加快标准国际化步伐，提升消费品国内外标准一致性水平。围绕装备制造、机器人、工业互联网、化工以及新材料等重点产业和重点企业，推动具有自主知识产权、国内领先的核心技术和工艺转化为国际标准、国家标准和行业标准，提升沈阳产业核心竞争力。鼓励龙头企业和行业协会、社会团体，以满足特定市场和创新需要为目标，制定高于国际标准、国家标准和地方标准的企业标准和团体标准，占领技术标准制高点。加强地方标准精细化管理，围绕乡村振兴、数字沈阳、生态环保、城市更新、交通运输、营商环境、现代服务业、市场监管等领域，立项发布一批推动沈阳高质量发展的地方标准。加强专业标准化技术委员会建设管理。</w:t>
      </w:r>
    </w:p>
    <w:p>
      <w:pPr>
        <w:ind w:firstLine="634"/>
        <w:outlineLvl w:val="3"/>
        <w:rPr>
          <w:vanish/>
        </w:rPr>
      </w:pPr>
      <w:r>
        <w:rPr>
          <w:rFonts w:hint="eastAsia"/>
          <w:b/>
          <w:bCs/>
        </w:rPr>
        <w:t>强化计量的基础作用</w:t>
      </w:r>
      <w:r>
        <w:rPr>
          <w:rFonts w:hint="eastAsia"/>
        </w:rPr>
        <w:t>。</w:t>
      </w:r>
    </w:p>
    <w:p>
      <w:pPr>
        <w:ind w:firstLine="632"/>
        <w:rPr>
          <w:vanish/>
        </w:rPr>
      </w:pPr>
      <w:r>
        <w:rPr>
          <w:rFonts w:hint="eastAsia"/>
        </w:rPr>
        <w:t>深入贯彻《计量发展规划（</w:t>
      </w:r>
      <w:r>
        <w:t>2021</w:t>
      </w:r>
      <w:r>
        <w:rPr>
          <w:rFonts w:hint="eastAsia"/>
        </w:rPr>
        <w:t>—</w:t>
      </w:r>
      <w:r>
        <w:t>2035</w:t>
      </w:r>
      <w:r>
        <w:rPr>
          <w:rFonts w:hint="eastAsia"/>
        </w:rPr>
        <w:t>年）》《关于加强国家现代先进测量体系建设的指导意见》，完善全市量传溯源体系，支持技术机构建立更高计量标准，提供一流的量值溯源服务和测量能力。按照《关于促进市场监管系统计量技术机构深化改革和创新发展的指导意见》部署，推进法定计量检定机构建设，鼓励计量应用信息大数据技术，支持计量技术机构做大做强，鼓励开拓校准、测试、检测服务市场。建立健全社会公用计量标准体系，更好服务民生、服务高质量发展，针对贸易公平、环境监测、医疗健康、节能减排、循环经济、安全防护、民生福祉等计量需求，不断拓展现有社会公用计量标准的测量范围，填补沈阳重点量值溯源链建设空白。实施社会公用计量标准建立与改造升级工程，加强社会公用计量标准建设与管理。强化民生计量监督管理。完善产业计量测试服务体系，推动产业计量测试中心或平台建设，将计量测试技术充分融入产业发展全过程，促进产业计量测试技术创新和成果转化，形成对战略性新兴产业、现代服务业等重点产业的全方位计量支撑能力。</w:t>
      </w:r>
    </w:p>
    <w:p>
      <w:pPr>
        <w:ind w:firstLine="634"/>
        <w:outlineLvl w:val="3"/>
        <w:rPr>
          <w:vanish/>
        </w:rPr>
      </w:pPr>
      <w:r>
        <w:rPr>
          <w:rFonts w:hint="eastAsia"/>
          <w:b/>
          <w:bCs/>
        </w:rPr>
        <w:t>强化认证认可桥梁作用</w:t>
      </w:r>
      <w:r>
        <w:rPr>
          <w:rFonts w:hint="eastAsia"/>
        </w:rPr>
        <w:t>。</w:t>
      </w:r>
    </w:p>
    <w:p>
      <w:pPr>
        <w:ind w:firstLine="632"/>
        <w:rPr>
          <w:vanish/>
        </w:rPr>
      </w:pPr>
      <w:r>
        <w:rPr>
          <w:rFonts w:hint="eastAsia" w:hAnsi="仿宋_GB2312" w:cs="Arial"/>
          <w:kern w:val="0"/>
          <w:szCs w:val="32"/>
        </w:rPr>
        <w:t>大力发展</w:t>
      </w:r>
      <w:r>
        <w:rPr>
          <w:rFonts w:hint="eastAsia" w:hAnsi="仿宋"/>
          <w:szCs w:val="32"/>
        </w:rPr>
        <w:t>检验检测等高技术服务业，鼓励检验检测机构与企业、高校、科研院所等单位开展技术合作，共建研发中心、产业技术创新联盟，推动重大基础设施和大型科研仪器等创新资源开放共享，开展关键、共性技术联合攻关，推进“产学研用检”深度融合。加强检验检测资质认定监管，围绕风险较高和民众关切领域，加大对机动车、环境监测、食品、建筑等检验检测机构的抽查力度，持续推进专业化、差异化、多元化监管，推动检验检测行业规范发展。</w:t>
      </w:r>
      <w:r>
        <w:rPr>
          <w:rFonts w:hint="eastAsia"/>
        </w:rPr>
        <w:t>强化认证监管，组织开展全市认证活动“双随机、一公开”监督检查，探索建立认证机构长效监管机制，持续整治认证市场乱象。贯彻落实强制性产品认证制度改革要求，切实维护认证制度有效性。加强对重点产品生产企业的自愿性认证监管工作。加强对免予办理强制性认证产品的后续监督管理。大力推行高端品质认证，重点加大绿色产品、有机产品、健康服务、养老服务、旅游服务等认证力度，支持运用认证手段推进区域品牌建设。</w:t>
      </w:r>
    </w:p>
    <w:p>
      <w:pPr>
        <w:ind w:firstLine="634"/>
        <w:outlineLvl w:val="3"/>
        <w:rPr>
          <w:vanish/>
        </w:rPr>
      </w:pPr>
      <w:r>
        <w:rPr>
          <w:rFonts w:hint="eastAsia"/>
          <w:b/>
          <w:bCs/>
        </w:rPr>
        <w:t>强化检验检测服务作用</w:t>
      </w:r>
      <w:r>
        <w:rPr>
          <w:rFonts w:hint="eastAsia"/>
        </w:rPr>
        <w:t>。</w:t>
      </w:r>
      <w:bookmarkStart w:id="12" w:name="_Hlk93308090"/>
    </w:p>
    <w:p>
      <w:pPr>
        <w:ind w:firstLine="632"/>
        <w:rPr>
          <w:szCs w:val="32"/>
        </w:rPr>
      </w:pPr>
      <w:r>
        <w:rPr>
          <w:rFonts w:hint="eastAsia"/>
          <w:szCs w:val="32"/>
        </w:rPr>
        <w:t>实施沈阳市检验检测中心质量提升专项行动，</w:t>
      </w:r>
      <w:r>
        <w:rPr>
          <w:rFonts w:hint="eastAsia"/>
        </w:rPr>
        <w:t>制订《沈阳市检验检测中心质量提升三年专项行动方案（</w:t>
      </w:r>
      <w:r>
        <w:t>2021</w:t>
      </w:r>
      <w:r>
        <w:rPr>
          <w:rFonts w:hint="eastAsia"/>
        </w:rPr>
        <w:t>—</w:t>
      </w:r>
      <w:r>
        <w:t>2023</w:t>
      </w:r>
      <w:r>
        <w:rPr>
          <w:rFonts w:hint="eastAsia"/>
        </w:rPr>
        <w:t>年）》，到</w:t>
      </w:r>
      <w:r>
        <w:t>2023</w:t>
      </w:r>
      <w:r>
        <w:rPr>
          <w:rFonts w:hint="eastAsia"/>
        </w:rPr>
        <w:t>年，</w:t>
      </w:r>
      <w:r>
        <w:rPr>
          <w:rFonts w:hint="eastAsia" w:hAnsi="仿宋"/>
          <w:szCs w:val="32"/>
        </w:rPr>
        <w:t>努力构建资质能力雄厚、技术水平一流、服务保障有力、质效增长稳健、发展后劲充足的检验检测新格局。开展</w:t>
      </w:r>
      <w:r>
        <w:rPr>
          <w:rFonts w:hint="eastAsia"/>
          <w:szCs w:val="32"/>
        </w:rPr>
        <w:t>质量基础“一站式”服</w:t>
      </w:r>
      <w:r>
        <w:rPr>
          <w:rFonts w:hint="eastAsia" w:hAnsi="仿宋"/>
          <w:szCs w:val="32"/>
        </w:rPr>
        <w:t>务试点，按照《市场监管总局关于大力开展质量基础设施“一站式”服务的意见》，根据都市圈一体化要求，结合都市圈产业特点、企业需要和资源现状，因地制宜搭建都市圈质量基础设施“一站式”服务平台，建立计量、标准、认证认可、检验检测、质量管理等要素协同服务的流程与机制，探索构建“互联网+质量基础设施”服务生态。</w:t>
      </w:r>
      <w:bookmarkEnd w:id="12"/>
      <w:r>
        <w:rPr>
          <w:rFonts w:hint="eastAsia"/>
          <w:szCs w:val="32"/>
        </w:rPr>
        <w:t>规划建设一批高水平国家级和省级检验中心和检测实验室。研发一批重要检验检测技术标准，提升综合检验检测能力。坚持市场化方向，按照国家市场监管总局、市委市政府部署，有序推进事业单位性质的检验检测认证机构改革，促进第三方检验检测认证机构发展。</w:t>
      </w:r>
      <w:r>
        <w:rPr>
          <w:szCs w:val="32"/>
        </w:rPr>
        <w:br w:type="page"/>
      </w:r>
    </w:p>
    <w:tbl>
      <w:tblPr>
        <w:tblStyle w:val="8"/>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shd w:val="clear" w:color="auto" w:fill="auto"/>
            <w:tcMar>
              <w:left w:w="57" w:type="dxa"/>
              <w:right w:w="57" w:type="dxa"/>
            </w:tcMar>
            <w:vAlign w:val="center"/>
          </w:tcPr>
          <w:p>
            <w:pPr>
              <w:spacing w:line="465" w:lineRule="exact"/>
              <w:ind w:firstLine="0" w:firstLineChars="0"/>
              <w:jc w:val="center"/>
              <w:rPr>
                <w:rFonts w:ascii="黑体" w:hAnsi="黑体" w:eastAsia="黑体"/>
                <w:sz w:val="28"/>
                <w:szCs w:val="28"/>
              </w:rPr>
            </w:pPr>
            <w:r>
              <w:rPr>
                <w:rFonts w:hint="eastAsia" w:ascii="黑体" w:hAnsi="黑体" w:eastAsia="黑体"/>
                <w:sz w:val="28"/>
                <w:szCs w:val="28"/>
              </w:rPr>
              <w:t>专栏</w:t>
            </w:r>
            <w:r>
              <w:rPr>
                <w:rFonts w:eastAsia="黑体"/>
                <w:sz w:val="28"/>
                <w:szCs w:val="28"/>
              </w:rPr>
              <w:t>3</w:t>
            </w:r>
            <w:r>
              <w:rPr>
                <w:rFonts w:hint="eastAsia" w:eastAsia="黑体"/>
                <w:sz w:val="28"/>
                <w:szCs w:val="28"/>
              </w:rPr>
              <w:t>　</w:t>
            </w:r>
            <w:r>
              <w:rPr>
                <w:rFonts w:hint="eastAsia" w:ascii="黑体" w:hAnsi="黑体" w:eastAsia="黑体"/>
                <w:sz w:val="28"/>
                <w:szCs w:val="28"/>
              </w:rPr>
              <w:t>质量基础技术提升工程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2" w:hRule="atLeast"/>
        </w:trPr>
        <w:tc>
          <w:tcPr>
            <w:tcW w:w="8834" w:type="dxa"/>
            <w:shd w:val="clear" w:color="auto" w:fill="auto"/>
            <w:tcMar>
              <w:left w:w="57" w:type="dxa"/>
              <w:right w:w="57" w:type="dxa"/>
            </w:tcMar>
            <w:vAlign w:val="center"/>
          </w:tcPr>
          <w:p>
            <w:pPr>
              <w:spacing w:line="465" w:lineRule="exact"/>
              <w:ind w:firstLine="552"/>
              <w:rPr>
                <w:sz w:val="28"/>
                <w:szCs w:val="28"/>
              </w:rPr>
            </w:pPr>
            <w:r>
              <w:rPr>
                <w:sz w:val="28"/>
                <w:szCs w:val="28"/>
              </w:rPr>
              <w:t>计量标准</w:t>
            </w:r>
            <w:r>
              <w:rPr>
                <w:rFonts w:hint="eastAsia"/>
                <w:sz w:val="28"/>
                <w:szCs w:val="28"/>
              </w:rPr>
              <w:t>：</w:t>
            </w:r>
            <w:r>
              <w:rPr>
                <w:sz w:val="28"/>
                <w:szCs w:val="28"/>
              </w:rPr>
              <w:t>建立30项社会公用计量标准</w:t>
            </w:r>
            <w:r>
              <w:rPr>
                <w:rFonts w:hint="eastAsia"/>
                <w:sz w:val="28"/>
                <w:szCs w:val="28"/>
              </w:rPr>
              <w:t>。</w:t>
            </w:r>
          </w:p>
          <w:p>
            <w:pPr>
              <w:spacing w:line="465" w:lineRule="exact"/>
              <w:ind w:firstLine="552"/>
              <w:rPr>
                <w:sz w:val="28"/>
                <w:szCs w:val="28"/>
              </w:rPr>
            </w:pPr>
            <w:r>
              <w:rPr>
                <w:sz w:val="28"/>
                <w:szCs w:val="28"/>
              </w:rPr>
              <w:t>质检中心</w:t>
            </w:r>
            <w:r>
              <w:rPr>
                <w:rFonts w:hint="eastAsia"/>
                <w:sz w:val="28"/>
                <w:szCs w:val="28"/>
              </w:rPr>
              <w:t>：</w:t>
            </w:r>
            <w:r>
              <w:rPr>
                <w:sz w:val="28"/>
                <w:szCs w:val="28"/>
              </w:rPr>
              <w:t>筹建辽宁省流量计质量监督检验中心</w:t>
            </w:r>
            <w:r>
              <w:rPr>
                <w:rFonts w:hint="eastAsia"/>
                <w:sz w:val="28"/>
                <w:szCs w:val="28"/>
              </w:rPr>
              <w:t>。</w:t>
            </w:r>
          </w:p>
          <w:p>
            <w:pPr>
              <w:spacing w:line="465" w:lineRule="exact"/>
              <w:ind w:firstLine="552"/>
              <w:rPr>
                <w:sz w:val="28"/>
                <w:szCs w:val="28"/>
              </w:rPr>
            </w:pPr>
            <w:r>
              <w:rPr>
                <w:sz w:val="28"/>
                <w:szCs w:val="28"/>
              </w:rPr>
              <w:t>食品安全</w:t>
            </w:r>
            <w:r>
              <w:rPr>
                <w:rFonts w:hint="eastAsia"/>
                <w:sz w:val="28"/>
                <w:szCs w:val="28"/>
              </w:rPr>
              <w:t>：</w:t>
            </w:r>
            <w:r>
              <w:rPr>
                <w:sz w:val="28"/>
                <w:szCs w:val="28"/>
              </w:rPr>
              <w:t>开展“液相质谱联用法测定蔬菜水果中有机磷类农药及其代谢物残留量的检验技术研究”“基于QuEChERS</w:t>
            </w:r>
            <w:r>
              <w:rPr>
                <w:rFonts w:hint="eastAsia"/>
                <w:sz w:val="28"/>
                <w:szCs w:val="28"/>
              </w:rPr>
              <w:t>—</w:t>
            </w:r>
            <w:r>
              <w:rPr>
                <w:sz w:val="28"/>
                <w:szCs w:val="28"/>
              </w:rPr>
              <w:t>液质联用技术测定粮谷中SDHI类新型杀菌剂残留量的方法研究”“</w:t>
            </w:r>
            <w:r>
              <w:rPr>
                <w:rFonts w:hint="eastAsia"/>
                <w:sz w:val="28"/>
                <w:szCs w:val="28"/>
              </w:rPr>
              <w:t>高效液相色谱法测定食品及食品添加剂落葵红中</w:t>
            </w:r>
            <w:r>
              <w:rPr>
                <w:sz w:val="28"/>
                <w:szCs w:val="28"/>
              </w:rPr>
              <w:t>6</w:t>
            </w:r>
            <w:r>
              <w:rPr>
                <w:rFonts w:hint="eastAsia"/>
                <w:sz w:val="28"/>
                <w:szCs w:val="28"/>
              </w:rPr>
              <w:t>种花青素和甜菜红苷的检验方法研究及应用</w:t>
            </w:r>
            <w:r>
              <w:rPr>
                <w:sz w:val="28"/>
                <w:szCs w:val="28"/>
              </w:rPr>
              <w:t>”。</w:t>
            </w:r>
          </w:p>
          <w:p>
            <w:pPr>
              <w:spacing w:line="465" w:lineRule="exact"/>
              <w:ind w:firstLine="552"/>
              <w:rPr>
                <w:sz w:val="28"/>
                <w:szCs w:val="28"/>
              </w:rPr>
            </w:pPr>
            <w:r>
              <w:rPr>
                <w:sz w:val="28"/>
                <w:szCs w:val="28"/>
              </w:rPr>
              <w:t>公共安全</w:t>
            </w:r>
            <w:r>
              <w:rPr>
                <w:rFonts w:hint="eastAsia"/>
                <w:sz w:val="28"/>
                <w:szCs w:val="28"/>
              </w:rPr>
              <w:t>：</w:t>
            </w:r>
            <w:r>
              <w:rPr>
                <w:sz w:val="28"/>
                <w:szCs w:val="28"/>
              </w:rPr>
              <w:t>阻火器型式试验作业系统搬迁。</w:t>
            </w:r>
            <w:r>
              <w:rPr>
                <w:rFonts w:hint="eastAsia"/>
                <w:sz w:val="28"/>
                <w:szCs w:val="28"/>
              </w:rPr>
              <w:t>（</w:t>
            </w:r>
            <w:r>
              <w:rPr>
                <w:sz w:val="28"/>
                <w:szCs w:val="28"/>
              </w:rPr>
              <w:t>该作业系统拟从浑南搬迁至沈西检测基地</w:t>
            </w:r>
            <w:r>
              <w:rPr>
                <w:rFonts w:hint="eastAsia"/>
                <w:sz w:val="28"/>
                <w:szCs w:val="28"/>
              </w:rPr>
              <w:t>）</w:t>
            </w:r>
          </w:p>
          <w:p>
            <w:pPr>
              <w:spacing w:line="465" w:lineRule="exact"/>
              <w:ind w:firstLine="552"/>
              <w:rPr>
                <w:sz w:val="28"/>
                <w:szCs w:val="28"/>
              </w:rPr>
            </w:pPr>
            <w:r>
              <w:rPr>
                <w:sz w:val="28"/>
                <w:szCs w:val="28"/>
              </w:rPr>
              <w:t>公共安全</w:t>
            </w:r>
            <w:r>
              <w:rPr>
                <w:rFonts w:hint="eastAsia"/>
                <w:sz w:val="28"/>
                <w:szCs w:val="28"/>
              </w:rPr>
              <w:t>：</w:t>
            </w:r>
            <w:r>
              <w:rPr>
                <w:sz w:val="28"/>
                <w:szCs w:val="28"/>
              </w:rPr>
              <w:t>呼吸阀测试方法及测试装置研究。</w:t>
            </w:r>
            <w:r>
              <w:rPr>
                <w:rFonts w:hint="eastAsia"/>
                <w:sz w:val="28"/>
                <w:szCs w:val="28"/>
              </w:rPr>
              <w:t>（</w:t>
            </w:r>
            <w:r>
              <w:rPr>
                <w:sz w:val="28"/>
                <w:szCs w:val="28"/>
              </w:rPr>
              <w:t>填补呼吸阀测试领域国内空白</w:t>
            </w:r>
            <w:r>
              <w:rPr>
                <w:rFonts w:hint="eastAsia"/>
                <w:sz w:val="28"/>
                <w:szCs w:val="28"/>
              </w:rPr>
              <w:t>）</w:t>
            </w:r>
          </w:p>
          <w:p>
            <w:pPr>
              <w:spacing w:line="465" w:lineRule="exact"/>
              <w:ind w:firstLine="552"/>
              <w:rPr>
                <w:sz w:val="28"/>
                <w:szCs w:val="28"/>
              </w:rPr>
            </w:pPr>
            <w:r>
              <w:rPr>
                <w:sz w:val="28"/>
                <w:szCs w:val="28"/>
              </w:rPr>
              <w:t>特种设备</w:t>
            </w:r>
            <w:r>
              <w:rPr>
                <w:rFonts w:hint="eastAsia"/>
                <w:sz w:val="28"/>
                <w:szCs w:val="28"/>
              </w:rPr>
              <w:t>：</w:t>
            </w:r>
            <w:r>
              <w:rPr>
                <w:sz w:val="28"/>
                <w:szCs w:val="28"/>
              </w:rPr>
              <w:t>计划用三年时间，完成浑南基地特种设备作业人员考场主要项目搬迁至长青基地。预计搬迁完成后，可解决PE</w:t>
            </w:r>
            <w:r>
              <w:rPr>
                <w:rFonts w:hint="eastAsia"/>
                <w:sz w:val="28"/>
                <w:szCs w:val="28"/>
              </w:rPr>
              <w:t>（</w:t>
            </w:r>
            <w:r>
              <w:rPr>
                <w:sz w:val="28"/>
                <w:szCs w:val="28"/>
              </w:rPr>
              <w:t>非金属焊接）无场地，金属焊接考位不足，承压类模拟考试场地间距小，起重、电梯考试场地不独立，员工办公及考生候考空间不足等问题</w:t>
            </w:r>
            <w:r>
              <w:rPr>
                <w:rFonts w:hint="eastAsia"/>
                <w:sz w:val="28"/>
                <w:szCs w:val="28"/>
              </w:rPr>
              <w:t>，进一步提高</w:t>
            </w:r>
            <w:r>
              <w:rPr>
                <w:sz w:val="28"/>
                <w:szCs w:val="28"/>
              </w:rPr>
              <w:t>考试的接待能力</w:t>
            </w:r>
            <w:r>
              <w:rPr>
                <w:rFonts w:hint="eastAsia"/>
                <w:sz w:val="28"/>
                <w:szCs w:val="28"/>
              </w:rPr>
              <w:t>。</w:t>
            </w:r>
          </w:p>
          <w:p>
            <w:pPr>
              <w:spacing w:line="465" w:lineRule="exact"/>
              <w:ind w:firstLine="552"/>
              <w:rPr>
                <w:sz w:val="28"/>
                <w:szCs w:val="28"/>
              </w:rPr>
            </w:pPr>
            <w:r>
              <w:rPr>
                <w:sz w:val="28"/>
                <w:szCs w:val="28"/>
              </w:rPr>
              <w:t>检验检测</w:t>
            </w:r>
            <w:r>
              <w:rPr>
                <w:rFonts w:hint="eastAsia"/>
                <w:sz w:val="28"/>
                <w:szCs w:val="28"/>
              </w:rPr>
              <w:t>：“</w:t>
            </w:r>
            <w:r>
              <w:rPr>
                <w:sz w:val="28"/>
                <w:szCs w:val="28"/>
              </w:rPr>
              <w:t>十四五</w:t>
            </w:r>
            <w:r>
              <w:rPr>
                <w:rFonts w:hint="eastAsia"/>
                <w:sz w:val="28"/>
                <w:szCs w:val="28"/>
              </w:rPr>
              <w:t>”</w:t>
            </w:r>
            <w:r>
              <w:rPr>
                <w:sz w:val="28"/>
                <w:szCs w:val="28"/>
              </w:rPr>
              <w:t>期间</w:t>
            </w:r>
            <w:r>
              <w:rPr>
                <w:rFonts w:hint="eastAsia"/>
                <w:sz w:val="28"/>
                <w:szCs w:val="28"/>
              </w:rPr>
              <w:t>，</w:t>
            </w:r>
            <w:r>
              <w:rPr>
                <w:sz w:val="28"/>
                <w:szCs w:val="28"/>
              </w:rPr>
              <w:t>计划新增检验能力400个项目（参数）</w:t>
            </w:r>
            <w:r>
              <w:rPr>
                <w:rFonts w:hint="eastAsia"/>
                <w:sz w:val="28"/>
                <w:szCs w:val="28"/>
              </w:rPr>
              <w:t>。</w:t>
            </w:r>
          </w:p>
        </w:tc>
      </w:tr>
    </w:tbl>
    <w:p>
      <w:pPr>
        <w:ind w:firstLine="632"/>
      </w:pPr>
    </w:p>
    <w:tbl>
      <w:tblPr>
        <w:tblStyle w:val="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45" w:type="dxa"/>
            <w:tcMar>
              <w:top w:w="0" w:type="dxa"/>
              <w:left w:w="108" w:type="dxa"/>
              <w:bottom w:w="0" w:type="dxa"/>
              <w:right w:w="108" w:type="dxa"/>
            </w:tcMar>
            <w:vAlign w:val="center"/>
          </w:tcPr>
          <w:p>
            <w:pPr>
              <w:snapToGrid w:val="0"/>
              <w:spacing w:line="465" w:lineRule="exact"/>
              <w:ind w:firstLine="0" w:firstLineChars="0"/>
              <w:jc w:val="center"/>
              <w:rPr>
                <w:rFonts w:ascii="仿宋" w:hAnsi="仿宋" w:eastAsia="仿宋"/>
                <w:b/>
                <w:sz w:val="28"/>
                <w:szCs w:val="28"/>
              </w:rPr>
            </w:pPr>
            <w:r>
              <w:rPr>
                <w:rFonts w:hint="eastAsia" w:ascii="黑体" w:hAnsi="黑体" w:eastAsia="黑体"/>
                <w:sz w:val="28"/>
                <w:szCs w:val="28"/>
              </w:rPr>
              <w:t>专栏</w:t>
            </w:r>
            <w:r>
              <w:rPr>
                <w:rFonts w:eastAsia="黑体"/>
                <w:sz w:val="28"/>
                <w:szCs w:val="28"/>
              </w:rPr>
              <w:t>4</w:t>
            </w:r>
            <w:r>
              <w:rPr>
                <w:rFonts w:hint="eastAsia" w:eastAsia="黑体"/>
                <w:sz w:val="28"/>
                <w:szCs w:val="28"/>
              </w:rPr>
              <w:t>　</w:t>
            </w:r>
            <w:r>
              <w:rPr>
                <w:rFonts w:hint="eastAsia" w:ascii="黑体" w:hAnsi="黑体" w:eastAsia="黑体"/>
                <w:sz w:val="28"/>
                <w:szCs w:val="28"/>
              </w:rPr>
              <w:t>推动建设质量基础设施“一站式”服务工程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8" w:hRule="atLeast"/>
          <w:jc w:val="center"/>
        </w:trPr>
        <w:tc>
          <w:tcPr>
            <w:tcW w:w="8845" w:type="dxa"/>
            <w:tcMar>
              <w:top w:w="0" w:type="dxa"/>
              <w:left w:w="108" w:type="dxa"/>
              <w:bottom w:w="0" w:type="dxa"/>
              <w:right w:w="108" w:type="dxa"/>
            </w:tcMar>
            <w:vAlign w:val="center"/>
          </w:tcPr>
          <w:p>
            <w:pPr>
              <w:snapToGrid w:val="0"/>
              <w:spacing w:line="465" w:lineRule="exact"/>
              <w:ind w:firstLine="552"/>
              <w:rPr>
                <w:rFonts w:ascii="宋体" w:hAnsi="宋体" w:eastAsia="宋体"/>
                <w:sz w:val="28"/>
                <w:szCs w:val="28"/>
              </w:rPr>
            </w:pPr>
            <w:r>
              <w:rPr>
                <w:rFonts w:hint="eastAsia"/>
                <w:sz w:val="28"/>
                <w:szCs w:val="28"/>
              </w:rPr>
              <w:t>聚焦沈阳现代化都市圈、优势区域、支柱产业和重点企业等不同市场主体需求，发挥食品药品、特种设备、产品质量、计量检定校准、标准化和知识产权等检验检测技术领域的优势，搭建</w:t>
            </w:r>
            <w:r>
              <w:rPr>
                <w:sz w:val="28"/>
                <w:szCs w:val="28"/>
              </w:rPr>
              <w:t>1</w:t>
            </w:r>
            <w:r>
              <w:rPr>
                <w:rFonts w:hint="eastAsia"/>
                <w:sz w:val="28"/>
                <w:szCs w:val="28"/>
              </w:rPr>
              <w:t>个线上检验检测公共服务平台，建设</w:t>
            </w:r>
            <w:r>
              <w:rPr>
                <w:sz w:val="28"/>
                <w:szCs w:val="28"/>
              </w:rPr>
              <w:t>3</w:t>
            </w:r>
            <w:r>
              <w:rPr>
                <w:rFonts w:hint="eastAsia"/>
                <w:sz w:val="28"/>
                <w:szCs w:val="28"/>
              </w:rPr>
              <w:t>个线下质量基础设施“一站式”服务站，设立</w:t>
            </w:r>
            <w:r>
              <w:rPr>
                <w:sz w:val="28"/>
                <w:szCs w:val="28"/>
              </w:rPr>
              <w:t>1</w:t>
            </w:r>
            <w:r>
              <w:rPr>
                <w:rFonts w:hint="eastAsia"/>
                <w:sz w:val="28"/>
                <w:szCs w:val="28"/>
              </w:rPr>
              <w:t>支服务队伍，推动形成相互支撑、互为补充、覆盖面广、技术一流、服务优质、网络完备的“一站式”服务体系，不断完善“互联网+检验检测”与专属服务、技术攻关、质量帮扶相结合的“一站式”服务模式。</w:t>
            </w:r>
          </w:p>
        </w:tc>
      </w:tr>
    </w:tbl>
    <w:p>
      <w:pPr>
        <w:ind w:firstLine="632"/>
        <w:outlineLvl w:val="1"/>
        <w:rPr>
          <w:rFonts w:ascii="楷体_GB2312" w:eastAsia="楷体_GB2312"/>
        </w:rPr>
      </w:pPr>
      <w:r>
        <w:rPr>
          <w:rFonts w:hint="eastAsia" w:ascii="楷体_GB2312" w:eastAsia="楷体_GB2312"/>
        </w:rPr>
        <w:t>（二）推进知识产权强市战略</w:t>
      </w:r>
    </w:p>
    <w:p>
      <w:pPr>
        <w:ind w:firstLine="632"/>
        <w:outlineLvl w:val="2"/>
        <w:rPr>
          <w:rFonts w:hint="eastAsia" w:hAnsi="&amp;quot" w:cs="宋体"/>
          <w:vanish/>
          <w:kern w:val="0"/>
          <w:szCs w:val="32"/>
        </w:rPr>
      </w:pPr>
      <w:r>
        <w:rPr>
          <w:rFonts w:eastAsia="楷体_GB2312"/>
        </w:rPr>
        <w:t>1</w:t>
      </w:r>
      <w:r>
        <w:rPr>
          <w:rFonts w:hint="eastAsia" w:ascii="楷体_GB2312" w:eastAsia="楷体_GB2312"/>
        </w:rPr>
        <w:t>.</w:t>
      </w:r>
      <w:r>
        <w:rPr>
          <w:rFonts w:hint="eastAsia" w:hAnsi="&amp;quot" w:cs="宋体"/>
          <w:b/>
          <w:bCs/>
          <w:kern w:val="0"/>
          <w:szCs w:val="32"/>
        </w:rPr>
        <w:t>推进国家知识产权运营服务体系建设重点城市建设</w:t>
      </w:r>
      <w:r>
        <w:rPr>
          <w:rFonts w:hint="eastAsia" w:hAnsi="&amp;quot" w:cs="宋体"/>
          <w:kern w:val="0"/>
          <w:szCs w:val="32"/>
        </w:rPr>
        <w:t>。</w:t>
      </w:r>
    </w:p>
    <w:p>
      <w:pPr>
        <w:ind w:firstLine="632"/>
        <w:rPr>
          <w:vanish/>
        </w:rPr>
      </w:pPr>
      <w:r>
        <w:rPr>
          <w:rFonts w:hint="eastAsia" w:hAnsi="&amp;quot" w:cs="宋体"/>
          <w:kern w:val="0"/>
          <w:szCs w:val="32"/>
        </w:rPr>
        <w:t>按照《沈阳市知识产权运营服务体系建设实施方案》部署，实施知识产权质量提升工程、知识产权高效运用促进工程、知识产权管理体系优化工程、知识产权金融创新赋能工程、知识产权服务提质增效工程，</w:t>
      </w:r>
      <w:r>
        <w:rPr>
          <w:rFonts w:hint="eastAsia"/>
        </w:rPr>
        <w:t>初步构建起要素完备、体系健全、运行顺畅、规范化和市场化兼备的知识产权运营服务体系。</w:t>
      </w:r>
    </w:p>
    <w:p>
      <w:pPr>
        <w:ind w:firstLine="634"/>
        <w:outlineLvl w:val="3"/>
        <w:rPr>
          <w:rFonts w:ascii="仿宋_GB2312" w:hAnsi="楷体" w:cs="黑体"/>
          <w:vanish/>
          <w:kern w:val="0"/>
          <w:szCs w:val="32"/>
        </w:rPr>
      </w:pPr>
      <w:r>
        <w:rPr>
          <w:rFonts w:hint="eastAsia" w:ascii="仿宋_GB2312"/>
          <w:b/>
          <w:bCs/>
        </w:rPr>
        <w:t>强化协调联动</w:t>
      </w:r>
      <w:r>
        <w:rPr>
          <w:rFonts w:hint="eastAsia" w:ascii="仿宋_GB2312" w:hAnsi="楷体" w:cs="黑体"/>
          <w:kern w:val="0"/>
          <w:szCs w:val="32"/>
        </w:rPr>
        <w:t>。</w:t>
      </w:r>
    </w:p>
    <w:p>
      <w:pPr>
        <w:ind w:firstLine="632"/>
        <w:rPr>
          <w:rFonts w:ascii="仿宋_GB2312" w:hAnsi="黑体" w:cs="黑体"/>
          <w:vanish/>
          <w:szCs w:val="32"/>
        </w:rPr>
      </w:pPr>
      <w:r>
        <w:rPr>
          <w:rFonts w:hint="eastAsia" w:ascii="仿宋_GB2312" w:hAnsi="黑体" w:cs="黑体"/>
          <w:szCs w:val="32"/>
        </w:rPr>
        <w:t>充分利用国家和省知识产权数据资源、系统资源和项目资源，着力打造纵向支撑、优势互补的联动机制。明确职责分工，加强政策基础，实行横向联动，推动形成知识产权与相关部门及区、县（市）政府共建工作合力。</w:t>
      </w:r>
    </w:p>
    <w:p>
      <w:pPr>
        <w:ind w:firstLine="634"/>
        <w:outlineLvl w:val="3"/>
        <w:rPr>
          <w:rFonts w:ascii="仿宋_GB2312" w:hAnsi="楷体" w:cs="黑体"/>
          <w:vanish/>
          <w:kern w:val="0"/>
          <w:szCs w:val="32"/>
        </w:rPr>
      </w:pPr>
      <w:r>
        <w:rPr>
          <w:rFonts w:hint="eastAsia" w:ascii="仿宋_GB2312" w:hAnsi="楷体" w:cs="黑体"/>
          <w:b/>
          <w:kern w:val="0"/>
          <w:szCs w:val="32"/>
        </w:rPr>
        <w:t>完善政策体系</w:t>
      </w:r>
      <w:r>
        <w:rPr>
          <w:rFonts w:hint="eastAsia" w:ascii="仿宋_GB2312" w:hAnsi="楷体" w:cs="黑体"/>
          <w:kern w:val="0"/>
          <w:szCs w:val="32"/>
        </w:rPr>
        <w:t>。</w:t>
      </w:r>
    </w:p>
    <w:p>
      <w:pPr>
        <w:ind w:firstLine="632"/>
        <w:rPr>
          <w:rFonts w:ascii="仿宋_GB2312" w:hAnsi="黑体" w:cs="黑体"/>
          <w:vanish/>
          <w:szCs w:val="32"/>
        </w:rPr>
      </w:pPr>
      <w:r>
        <w:rPr>
          <w:rFonts w:hint="eastAsia" w:ascii="仿宋_GB2312" w:hAnsi="黑体" w:cs="黑体"/>
          <w:szCs w:val="32"/>
        </w:rPr>
        <w:t>制定知识产权运营服务体系建设专项资金管理办法，明确支持范围、使用方式等要求，并按规定向社会公示，规范资金管理，确保资金专款专用、取得实效。</w:t>
      </w:r>
    </w:p>
    <w:p>
      <w:pPr>
        <w:ind w:firstLine="634"/>
        <w:outlineLvl w:val="3"/>
        <w:rPr>
          <w:rFonts w:ascii="仿宋_GB2312" w:hAnsi="楷体" w:cs="黑体"/>
          <w:vanish/>
          <w:kern w:val="0"/>
          <w:szCs w:val="32"/>
        </w:rPr>
      </w:pPr>
      <w:r>
        <w:rPr>
          <w:rFonts w:hint="eastAsia" w:ascii="仿宋_GB2312" w:hAnsi="楷体" w:cs="黑体"/>
          <w:b/>
          <w:kern w:val="0"/>
          <w:szCs w:val="32"/>
        </w:rPr>
        <w:t>营造良好氛围</w:t>
      </w:r>
      <w:r>
        <w:rPr>
          <w:rFonts w:hint="eastAsia" w:ascii="仿宋_GB2312" w:hAnsi="楷体" w:cs="黑体"/>
          <w:kern w:val="0"/>
          <w:szCs w:val="32"/>
        </w:rPr>
        <w:t>。</w:t>
      </w:r>
    </w:p>
    <w:p>
      <w:pPr>
        <w:ind w:firstLine="632"/>
        <w:rPr>
          <w:rFonts w:ascii="仿宋_GB2312" w:hAnsi="黑体" w:cs="黑体"/>
          <w:szCs w:val="32"/>
        </w:rPr>
      </w:pPr>
      <w:r>
        <w:rPr>
          <w:rFonts w:hint="eastAsia" w:ascii="仿宋_GB2312" w:hAnsi="黑体" w:cs="黑体"/>
          <w:szCs w:val="32"/>
        </w:rPr>
        <w:t>广泛开展知识产权运营知识的普及教育和公益宣传，加大典型企业、创新模式的宣传力度，增强知识产权运用和保护意识，使尊重知识、崇尚创新、诚信守法理念深入人心，为知识产权运营服务体系建设营造良好氛。</w:t>
      </w:r>
    </w:p>
    <w:tbl>
      <w:tblPr>
        <w:tblStyle w:val="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34" w:type="dxa"/>
            <w:tcBorders>
              <w:top w:val="nil"/>
              <w:left w:val="nil"/>
              <w:right w:val="nil"/>
            </w:tcBorders>
            <w:vAlign w:val="center"/>
          </w:tcPr>
          <w:p>
            <w:pPr>
              <w:snapToGrid w:val="0"/>
              <w:spacing w:line="14" w:lineRule="exact"/>
              <w:ind w:firstLine="0" w:firstLineChars="0"/>
              <w:jc w:val="center"/>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34" w:type="dxa"/>
            <w:vAlign w:val="center"/>
          </w:tcPr>
          <w:p>
            <w:pPr>
              <w:spacing w:line="465" w:lineRule="exact"/>
              <w:ind w:firstLine="0" w:firstLineChars="0"/>
              <w:jc w:val="center"/>
              <w:rPr>
                <w:rFonts w:ascii="黑体" w:hAnsi="黑体" w:eastAsia="黑体"/>
                <w:sz w:val="28"/>
                <w:szCs w:val="28"/>
              </w:rPr>
            </w:pPr>
            <w:r>
              <w:rPr>
                <w:rFonts w:hint="eastAsia" w:ascii="黑体" w:hAnsi="黑体" w:eastAsia="黑体"/>
                <w:sz w:val="28"/>
                <w:szCs w:val="28"/>
              </w:rPr>
              <w:t>专栏</w:t>
            </w:r>
            <w:r>
              <w:rPr>
                <w:rFonts w:eastAsia="黑体"/>
                <w:sz w:val="28"/>
                <w:szCs w:val="28"/>
              </w:rPr>
              <w:t>5</w:t>
            </w:r>
            <w:r>
              <w:rPr>
                <w:rFonts w:hint="eastAsia" w:eastAsia="黑体"/>
                <w:sz w:val="28"/>
                <w:szCs w:val="28"/>
              </w:rPr>
              <w:t>　</w:t>
            </w:r>
            <w:r>
              <w:rPr>
                <w:rFonts w:hint="eastAsia" w:ascii="黑体" w:hAnsi="黑体" w:eastAsia="黑体"/>
                <w:sz w:val="28"/>
                <w:szCs w:val="28"/>
              </w:rPr>
              <w:t>开展沈阳市知识产权运营服务体系建设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8834" w:type="dxa"/>
            <w:vAlign w:val="center"/>
          </w:tcPr>
          <w:p>
            <w:pPr>
              <w:spacing w:line="460" w:lineRule="exact"/>
              <w:ind w:firstLine="552"/>
              <w:rPr>
                <w:sz w:val="28"/>
                <w:szCs w:val="28"/>
              </w:rPr>
            </w:pPr>
            <w:r>
              <w:rPr>
                <w:rFonts w:hint="eastAsia"/>
                <w:sz w:val="28"/>
                <w:szCs w:val="28"/>
              </w:rPr>
              <w:t>力争通过</w:t>
            </w:r>
            <w:r>
              <w:rPr>
                <w:sz w:val="28"/>
                <w:szCs w:val="28"/>
              </w:rPr>
              <w:t>3</w:t>
            </w:r>
            <w:r>
              <w:rPr>
                <w:rFonts w:hint="eastAsia"/>
                <w:sz w:val="28"/>
                <w:szCs w:val="28"/>
              </w:rPr>
              <w:t>年努力，围绕沈阳产业和经济发展需求，构建起要素完备、体系健全、运行顺畅的知识产权运营服务体系。</w:t>
            </w:r>
          </w:p>
          <w:p>
            <w:pPr>
              <w:spacing w:line="460" w:lineRule="exact"/>
              <w:ind w:firstLine="552"/>
              <w:rPr>
                <w:sz w:val="28"/>
                <w:szCs w:val="28"/>
              </w:rPr>
            </w:pPr>
            <w:r>
              <w:rPr>
                <w:rFonts w:hint="eastAsia"/>
                <w:sz w:val="28"/>
                <w:szCs w:val="28"/>
              </w:rPr>
              <w:t>在知识产权运用方面。发挥知识产权质押融资风险补偿基金作用，扩大质押融资覆盖面，实现质押融资金额和项目数的稳定增长；推广知识产权保险产品，分担知识产权金融风险；支持</w:t>
            </w:r>
            <w:r>
              <w:rPr>
                <w:sz w:val="28"/>
                <w:szCs w:val="28"/>
              </w:rPr>
              <w:t>100</w:t>
            </w:r>
            <w:r>
              <w:rPr>
                <w:rFonts w:hint="eastAsia"/>
                <w:sz w:val="28"/>
                <w:szCs w:val="28"/>
              </w:rPr>
              <w:t>家以上中小企业成功转化高等院校和科研院所专利技术。</w:t>
            </w:r>
          </w:p>
          <w:p>
            <w:pPr>
              <w:spacing w:line="460" w:lineRule="exact"/>
              <w:ind w:firstLine="552"/>
              <w:rPr>
                <w:sz w:val="28"/>
                <w:szCs w:val="28"/>
              </w:rPr>
            </w:pPr>
            <w:r>
              <w:rPr>
                <w:rFonts w:hint="eastAsia"/>
                <w:sz w:val="28"/>
                <w:szCs w:val="28"/>
              </w:rPr>
              <w:t>在知识产权对产业支撑方面。聚焦高端装备、生物医药等产业，开展产业规划类专利导航</w:t>
            </w:r>
            <w:r>
              <w:rPr>
                <w:sz w:val="28"/>
                <w:szCs w:val="28"/>
              </w:rPr>
              <w:t>6</w:t>
            </w:r>
            <w:r>
              <w:rPr>
                <w:rFonts w:hint="eastAsia"/>
                <w:sz w:val="28"/>
                <w:szCs w:val="28"/>
              </w:rPr>
              <w:t>项，企业运营类导航</w:t>
            </w:r>
            <w:r>
              <w:rPr>
                <w:sz w:val="28"/>
                <w:szCs w:val="28"/>
              </w:rPr>
              <w:t>11</w:t>
            </w:r>
            <w:r>
              <w:rPr>
                <w:rFonts w:hint="eastAsia"/>
                <w:sz w:val="28"/>
                <w:szCs w:val="28"/>
              </w:rPr>
              <w:t>项。推动组建</w:t>
            </w:r>
            <w:r>
              <w:rPr>
                <w:sz w:val="28"/>
                <w:szCs w:val="28"/>
              </w:rPr>
              <w:t>5</w:t>
            </w:r>
            <w:r>
              <w:rPr>
                <w:rFonts w:hint="eastAsia"/>
                <w:sz w:val="28"/>
                <w:szCs w:val="28"/>
              </w:rPr>
              <w:t>家以上产业知识产权联盟；打造</w:t>
            </w:r>
            <w:r>
              <w:rPr>
                <w:sz w:val="28"/>
                <w:szCs w:val="28"/>
              </w:rPr>
              <w:t>5</w:t>
            </w:r>
            <w:r>
              <w:rPr>
                <w:rFonts w:hint="eastAsia"/>
                <w:sz w:val="28"/>
                <w:szCs w:val="28"/>
              </w:rPr>
              <w:t>家以上知识产权品牌服务机构。</w:t>
            </w:r>
          </w:p>
          <w:p>
            <w:pPr>
              <w:spacing w:line="460" w:lineRule="exact"/>
              <w:ind w:firstLine="552"/>
              <w:rPr>
                <w:rFonts w:ascii="仿宋_GB2312" w:hAnsi="仿宋_GB2312" w:cs="仿宋_GB2312"/>
                <w:sz w:val="28"/>
                <w:szCs w:val="28"/>
              </w:rPr>
            </w:pPr>
            <w:r>
              <w:rPr>
                <w:rFonts w:hint="eastAsia"/>
                <w:sz w:val="28"/>
                <w:szCs w:val="28"/>
              </w:rPr>
              <w:t>在知识产权管理方面。推动企业、高等院校、科研院所开展知识产权贯标认证工作，通过贯标认证的单位达到</w:t>
            </w:r>
            <w:r>
              <w:rPr>
                <w:sz w:val="28"/>
                <w:szCs w:val="28"/>
              </w:rPr>
              <w:t>200</w:t>
            </w:r>
            <w:r>
              <w:rPr>
                <w:rFonts w:hint="eastAsia"/>
                <w:sz w:val="28"/>
                <w:szCs w:val="28"/>
              </w:rPr>
              <w:t>家；鼓励企业争创国家、省知识产权示范（优势）企业，省级以上知识产权优势企业达到</w:t>
            </w:r>
            <w:r>
              <w:rPr>
                <w:sz w:val="28"/>
                <w:szCs w:val="28"/>
              </w:rPr>
              <w:t>100</w:t>
            </w:r>
            <w:r>
              <w:rPr>
                <w:rFonts w:hint="eastAsia"/>
                <w:sz w:val="28"/>
                <w:szCs w:val="28"/>
              </w:rPr>
              <w:t>家；支持开展知识产权集中托管，提升中小企业知识产权管理水平，</w:t>
            </w:r>
            <w:r>
              <w:rPr>
                <w:sz w:val="28"/>
                <w:szCs w:val="28"/>
              </w:rPr>
              <w:t>3</w:t>
            </w:r>
            <w:r>
              <w:rPr>
                <w:rFonts w:hint="eastAsia"/>
                <w:sz w:val="28"/>
                <w:szCs w:val="28"/>
              </w:rPr>
              <w:t>年累计覆盖中小企业</w:t>
            </w:r>
            <w:r>
              <w:rPr>
                <w:sz w:val="28"/>
                <w:szCs w:val="28"/>
              </w:rPr>
              <w:t>1000</w:t>
            </w:r>
            <w:r>
              <w:rPr>
                <w:rFonts w:hint="eastAsia"/>
                <w:sz w:val="28"/>
                <w:szCs w:val="28"/>
              </w:rPr>
              <w:t>家以上。</w:t>
            </w:r>
          </w:p>
        </w:tc>
      </w:tr>
    </w:tbl>
    <w:p>
      <w:pPr>
        <w:ind w:firstLine="632"/>
        <w:outlineLvl w:val="2"/>
        <w:rPr>
          <w:vanish/>
        </w:rPr>
      </w:pPr>
      <w:r>
        <w:t>2</w:t>
      </w:r>
      <w:r>
        <w:rPr>
          <w:rFonts w:hint="eastAsia"/>
        </w:rPr>
        <w:t>.</w:t>
      </w:r>
      <w:r>
        <w:rPr>
          <w:rFonts w:hint="eastAsia"/>
          <w:b/>
          <w:bCs/>
        </w:rPr>
        <w:t>全面加强知识产权保护</w:t>
      </w:r>
      <w:r>
        <w:rPr>
          <w:rFonts w:hint="eastAsia"/>
        </w:rPr>
        <w:t>。</w:t>
      </w:r>
    </w:p>
    <w:p>
      <w:pPr>
        <w:ind w:firstLine="634"/>
        <w:outlineLvl w:val="3"/>
        <w:rPr>
          <w:rFonts w:ascii="仿宋_GB2312"/>
          <w:vanish/>
        </w:rPr>
      </w:pPr>
      <w:r>
        <w:rPr>
          <w:rFonts w:hint="eastAsia"/>
          <w:b/>
        </w:rPr>
        <w:t>强化知识产权保护顶层设计</w:t>
      </w:r>
      <w:r>
        <w:rPr>
          <w:rFonts w:hint="eastAsia" w:ascii="仿宋_GB2312"/>
        </w:rPr>
        <w:t>。</w:t>
      </w:r>
    </w:p>
    <w:p>
      <w:pPr>
        <w:ind w:firstLine="632"/>
        <w:rPr>
          <w:rFonts w:ascii="仿宋_GB2312"/>
          <w:vanish/>
        </w:rPr>
      </w:pPr>
      <w:r>
        <w:rPr>
          <w:rFonts w:hint="eastAsia"/>
        </w:rPr>
        <w:t>深刻把握中央全面加强知识产权保护战略意图，进一步增强做好新时代知识产权保护工作的责任感、使命感、紧迫感，找准知识产权在构建现代化经济体系中的角色定位，严格执行民法典相关规定，加快完善相关法规制度建设，落实国务院《“十四五”国家知识产权保护和运用规划》，编制《沈阳市知识产权“十四五”保护和运用规划》，制定《沈阳市强化知识产权保护三年行动计划</w:t>
      </w:r>
      <w:bookmarkStart w:id="13" w:name="_Hlk95209841"/>
      <w:r>
        <w:rPr>
          <w:rFonts w:hint="eastAsia"/>
        </w:rPr>
        <w:t>（</w:t>
      </w:r>
      <w:r>
        <w:t>2021</w:t>
      </w:r>
      <w:r>
        <w:rPr>
          <w:rFonts w:hint="eastAsia"/>
        </w:rPr>
        <w:t>年—</w:t>
      </w:r>
      <w:r>
        <w:t>2023</w:t>
      </w:r>
      <w:r>
        <w:rPr>
          <w:rFonts w:hint="eastAsia"/>
        </w:rPr>
        <w:t>年）</w:t>
      </w:r>
      <w:bookmarkEnd w:id="13"/>
      <w:r>
        <w:rPr>
          <w:rFonts w:hint="eastAsia"/>
        </w:rPr>
        <w:t>》《沈阳市发明专利提升三年专项行动实施</w:t>
      </w:r>
      <w:bookmarkStart w:id="14" w:name="_Hlk95209852"/>
      <w:r>
        <w:rPr>
          <w:rFonts w:hint="eastAsia"/>
        </w:rPr>
        <w:t>计划（</w:t>
      </w:r>
      <w:r>
        <w:t>2021</w:t>
      </w:r>
      <w:r>
        <w:rPr>
          <w:rFonts w:hint="eastAsia"/>
        </w:rPr>
        <w:t>年—</w:t>
      </w:r>
      <w:r>
        <w:t>2023</w:t>
      </w:r>
      <w:r>
        <w:rPr>
          <w:rFonts w:hint="eastAsia"/>
        </w:rPr>
        <w:t>年）</w:t>
      </w:r>
      <w:bookmarkEnd w:id="14"/>
      <w:r>
        <w:rPr>
          <w:rFonts w:hint="eastAsia"/>
        </w:rPr>
        <w:t>》《沈阳市知识产权运营中心建设提升三年行动计划（</w:t>
      </w:r>
      <w:r>
        <w:t>2021</w:t>
      </w:r>
      <w:r>
        <w:rPr>
          <w:rFonts w:hint="eastAsia"/>
        </w:rPr>
        <w:t>年—</w:t>
      </w:r>
      <w:r>
        <w:t>2023</w:t>
      </w:r>
      <w:r>
        <w:rPr>
          <w:rFonts w:hint="eastAsia"/>
        </w:rPr>
        <w:t>年）》，研究制订沈阳市促进知识产权转移转化政策，适时修订《沈阳市专利促进条例》</w:t>
      </w:r>
      <w:r>
        <w:rPr>
          <w:rFonts w:hint="eastAsia" w:ascii="仿宋_GB2312"/>
        </w:rPr>
        <w:t>。</w:t>
      </w:r>
    </w:p>
    <w:p>
      <w:pPr>
        <w:ind w:firstLine="634"/>
        <w:outlineLvl w:val="3"/>
        <w:rPr>
          <w:rFonts w:ascii="仿宋_GB2312"/>
          <w:vanish/>
        </w:rPr>
      </w:pPr>
      <w:r>
        <w:rPr>
          <w:rFonts w:hint="eastAsia"/>
          <w:b/>
        </w:rPr>
        <w:t>完善知识产权保护制度</w:t>
      </w:r>
      <w:r>
        <w:rPr>
          <w:rFonts w:hint="eastAsia" w:ascii="仿宋_GB2312"/>
        </w:rPr>
        <w:t>。</w:t>
      </w:r>
    </w:p>
    <w:p>
      <w:pPr>
        <w:ind w:firstLine="632"/>
        <w:rPr>
          <w:rFonts w:ascii="仿宋_GB2312" w:hAnsi="仿宋" w:cs="仿宋"/>
          <w:vanish/>
          <w:szCs w:val="32"/>
        </w:rPr>
      </w:pPr>
      <w:r>
        <w:rPr>
          <w:rFonts w:hint="eastAsia"/>
        </w:rPr>
        <w:t>健全大数据、人工智能、基因技术等新领域新业态知识产权保护制度，研究推进传统文化、传统知识等领域保护</w:t>
      </w:r>
      <w:r>
        <w:rPr>
          <w:rFonts w:hint="eastAsia" w:ascii="仿宋_GB2312"/>
        </w:rPr>
        <w:t>。</w:t>
      </w:r>
      <w:r>
        <w:rPr>
          <w:rFonts w:hint="eastAsia"/>
        </w:rPr>
        <w:t>建立健全知识产权维权和纠纷仲裁机制，推进高新区设立知识产权法庭，中德产业园建设沈阳知识产权仲裁院，提升知识产权服务水平</w:t>
      </w:r>
      <w:r>
        <w:rPr>
          <w:rFonts w:hint="eastAsia" w:ascii="仿宋_GB2312"/>
        </w:rPr>
        <w:t>。</w:t>
      </w:r>
      <w:r>
        <w:rPr>
          <w:rFonts w:hint="eastAsia"/>
        </w:rPr>
        <w:t>协调公、检、法等部门推进沈阳知识产权法庭、知识产权检察室、知识产权支队建设，实现知识产权案件集中管辖</w:t>
      </w:r>
      <w:r>
        <w:rPr>
          <w:rFonts w:hint="eastAsia" w:ascii="仿宋_GB2312"/>
        </w:rPr>
        <w:t>。</w:t>
      </w:r>
      <w:r>
        <w:rPr>
          <w:rFonts w:hint="eastAsia"/>
        </w:rPr>
        <w:t>推进知识产权评估工作，落实防止知识产权滥用相关制度</w:t>
      </w:r>
      <w:r>
        <w:rPr>
          <w:rFonts w:hint="eastAsia" w:ascii="仿宋_GB2312"/>
        </w:rPr>
        <w:t>。</w:t>
      </w:r>
      <w:r>
        <w:rPr>
          <w:rFonts w:hint="eastAsia" w:ascii="仿宋_GB2312" w:hAnsi="仿宋" w:cs="仿宋"/>
          <w:szCs w:val="32"/>
        </w:rPr>
        <w:t>围绕国内国际两个市场、两种资源抓保护，</w:t>
      </w:r>
      <w:r>
        <w:rPr>
          <w:rFonts w:hint="eastAsia" w:ascii="仿宋_GB2312" w:hAnsi="微软雅黑"/>
          <w:szCs w:val="32"/>
        </w:rPr>
        <w:t>建立海外维权工作机制，</w:t>
      </w:r>
      <w:r>
        <w:rPr>
          <w:rFonts w:hint="eastAsia" w:ascii="仿宋_GB2312" w:hAnsi="仿宋" w:cs="仿宋"/>
          <w:szCs w:val="32"/>
        </w:rPr>
        <w:t>加大对“走出去”企业知识产权服务和支撑力度。</w:t>
      </w:r>
    </w:p>
    <w:p>
      <w:pPr>
        <w:ind w:firstLine="634"/>
        <w:outlineLvl w:val="3"/>
        <w:rPr>
          <w:rFonts w:ascii="仿宋_GB2312"/>
          <w:vanish/>
        </w:rPr>
      </w:pPr>
      <w:r>
        <w:rPr>
          <w:rFonts w:hint="eastAsia"/>
          <w:b/>
        </w:rPr>
        <w:t>强化知识产权全链条保护能力</w:t>
      </w:r>
      <w:r>
        <w:rPr>
          <w:rFonts w:hint="eastAsia" w:ascii="仿宋_GB2312"/>
        </w:rPr>
        <w:t>。</w:t>
      </w:r>
    </w:p>
    <w:p>
      <w:pPr>
        <w:ind w:firstLine="632"/>
      </w:pPr>
      <w:r>
        <w:rPr>
          <w:rFonts w:hint="eastAsia"/>
        </w:rPr>
        <w:t>完善知识产权“严保护、大保护、快保护、同保护”体系，优化运行机制，让侵犯知识产权的行为依法受到严惩，付出巨大成本</w:t>
      </w:r>
      <w:r>
        <w:rPr>
          <w:rFonts w:hint="eastAsia" w:ascii="仿宋_GB2312"/>
        </w:rPr>
        <w:t>。</w:t>
      </w:r>
      <w:r>
        <w:rPr>
          <w:rFonts w:hint="eastAsia"/>
        </w:rPr>
        <w:t>提高中国（沈阳）知识产权保护中心快速协同保护能力，为沈阳高端装备制造产业提供知识产权快速确权、快速维权、协同保护及“一站式”综合服务</w:t>
      </w:r>
      <w:r>
        <w:rPr>
          <w:rFonts w:hint="eastAsia" w:ascii="仿宋_GB2312"/>
        </w:rPr>
        <w:t>。</w:t>
      </w:r>
      <w:r>
        <w:rPr>
          <w:rFonts w:hint="eastAsia"/>
        </w:rPr>
        <w:t>搭建市、区（县、市）全覆盖的知识产权信息公共服务网络</w:t>
      </w:r>
      <w:r>
        <w:rPr>
          <w:rFonts w:hint="eastAsia" w:ascii="仿宋_GB2312"/>
        </w:rPr>
        <w:t>。</w:t>
      </w:r>
      <w:r>
        <w:rPr>
          <w:rFonts w:hint="eastAsia"/>
        </w:rPr>
        <w:t>强化海外知识产权纠纷预警防范，建立维权援助内外联动工作机制等具体举措，为企业“出海”保驾护航</w:t>
      </w:r>
      <w:r>
        <w:rPr>
          <w:rFonts w:hint="eastAsia" w:ascii="仿宋_GB2312"/>
        </w:rPr>
        <w:t>。</w:t>
      </w:r>
      <w:r>
        <w:rPr>
          <w:rFonts w:hint="eastAsia"/>
        </w:rPr>
        <w:t>加强知识产权人才队伍建设</w:t>
      </w:r>
      <w:r>
        <w:rPr>
          <w:rFonts w:hint="eastAsia" w:ascii="仿宋_GB2312"/>
        </w:rPr>
        <w:t>。</w:t>
      </w:r>
      <w:r>
        <w:rPr>
          <w:rFonts w:hint="eastAsia"/>
        </w:rPr>
        <w:t>推进知识产权国际合作和竞争，维护知识产权领域国家安全，加强事关国家安全的关键核心技术保护，依法管理涉及国家安全的专利权、集成电路布图设计专有权的对外转让行为。</w:t>
      </w:r>
    </w:p>
    <w:p>
      <w:pPr>
        <w:ind w:firstLine="632"/>
        <w:outlineLvl w:val="2"/>
        <w:rPr>
          <w:vanish/>
        </w:rPr>
      </w:pPr>
      <w:r>
        <w:t>3</w:t>
      </w:r>
      <w:r>
        <w:rPr>
          <w:rFonts w:hint="eastAsia" w:ascii="仿宋_GB2312"/>
        </w:rPr>
        <w:t>.</w:t>
      </w:r>
      <w:r>
        <w:rPr>
          <w:rFonts w:hint="eastAsia" w:ascii="仿宋_GB2312"/>
          <w:b/>
          <w:bCs/>
        </w:rPr>
        <w:t>促进知识产权高效益运用</w:t>
      </w:r>
      <w:r>
        <w:rPr>
          <w:rFonts w:hint="eastAsia"/>
        </w:rPr>
        <w:t>。</w:t>
      </w:r>
    </w:p>
    <w:p>
      <w:pPr>
        <w:ind w:firstLine="634"/>
        <w:outlineLvl w:val="3"/>
        <w:rPr>
          <w:vanish/>
        </w:rPr>
      </w:pPr>
      <w:r>
        <w:rPr>
          <w:rFonts w:hint="eastAsia"/>
          <w:b/>
          <w:bCs/>
        </w:rPr>
        <w:t>开展专利导航试点</w:t>
      </w:r>
      <w:r>
        <w:rPr>
          <w:rFonts w:hint="eastAsia"/>
        </w:rPr>
        <w:t>。</w:t>
      </w:r>
    </w:p>
    <w:p>
      <w:pPr>
        <w:ind w:firstLine="632"/>
        <w:rPr>
          <w:vanish/>
        </w:rPr>
      </w:pPr>
      <w:r>
        <w:rPr>
          <w:rFonts w:hint="eastAsia"/>
        </w:rPr>
        <w:t>制定专利导航政策，运用专利导航方法，聚焦沈阳战略新兴产业和重点产业，实施一批专利导航示范项目，引导产业创新发展。</w:t>
      </w:r>
    </w:p>
    <w:p>
      <w:pPr>
        <w:ind w:firstLine="634"/>
        <w:outlineLvl w:val="3"/>
        <w:rPr>
          <w:vanish/>
        </w:rPr>
      </w:pPr>
      <w:r>
        <w:rPr>
          <w:rFonts w:hint="eastAsia" w:ascii="仿宋_GB2312"/>
          <w:b/>
          <w:bCs/>
        </w:rPr>
        <w:t>组建产业知识产权联盟</w:t>
      </w:r>
      <w:r>
        <w:rPr>
          <w:rFonts w:hint="eastAsia"/>
        </w:rPr>
        <w:t>。</w:t>
      </w:r>
    </w:p>
    <w:p>
      <w:pPr>
        <w:ind w:firstLine="632"/>
        <w:rPr>
          <w:vanish/>
        </w:rPr>
      </w:pPr>
      <w:r>
        <w:rPr>
          <w:rFonts w:hint="eastAsia"/>
        </w:rPr>
        <w:t>鼓励产业配套和专利互补的企事业单位结成产业专利联盟，强化联盟在知识产权联合创造、协同运用、合力保护、共同管理等方面的作用。</w:t>
      </w:r>
    </w:p>
    <w:p>
      <w:pPr>
        <w:ind w:firstLine="634"/>
        <w:outlineLvl w:val="3"/>
        <w:rPr>
          <w:vanish/>
        </w:rPr>
      </w:pPr>
      <w:r>
        <w:rPr>
          <w:rFonts w:hint="eastAsia"/>
          <w:b/>
          <w:bCs/>
        </w:rPr>
        <w:t>深化知识产权质押融资工作</w:t>
      </w:r>
      <w:r>
        <w:rPr>
          <w:rFonts w:hint="eastAsia"/>
        </w:rPr>
        <w:t>。</w:t>
      </w:r>
    </w:p>
    <w:p>
      <w:pPr>
        <w:ind w:firstLine="632"/>
      </w:pPr>
      <w:r>
        <w:rPr>
          <w:rFonts w:hint="eastAsia"/>
        </w:rPr>
        <w:t>发挥好质押融资风险补偿基金的作用，动态更新《沈阳市知识产权质押融资风险补偿基金扶持企业名录》，扩大覆盖面，缓解企业的资金压力，提高金融机构风险容忍度。完善知识产权质押融资配套政策，对知识产权质押贷款利息及评估、担保等有关费用加大财政补贴力度。</w:t>
      </w:r>
    </w:p>
    <w:p>
      <w:pPr>
        <w:ind w:firstLine="632"/>
        <w:outlineLvl w:val="2"/>
        <w:rPr>
          <w:vanish/>
        </w:rPr>
      </w:pPr>
      <w:r>
        <w:t>4</w:t>
      </w:r>
      <w:r>
        <w:rPr>
          <w:rFonts w:hint="eastAsia" w:ascii="仿宋_GB2312"/>
        </w:rPr>
        <w:t>.</w:t>
      </w:r>
      <w:r>
        <w:rPr>
          <w:rFonts w:hint="eastAsia" w:ascii="仿宋_GB2312"/>
          <w:b/>
          <w:bCs/>
        </w:rPr>
        <w:t>推进知识产权高效能管理和服务</w:t>
      </w:r>
      <w:r>
        <w:rPr>
          <w:rFonts w:hint="eastAsia"/>
        </w:rPr>
        <w:t>。</w:t>
      </w:r>
    </w:p>
    <w:p>
      <w:pPr>
        <w:ind w:firstLine="634"/>
        <w:rPr>
          <w:vanish/>
        </w:rPr>
      </w:pPr>
      <w:r>
        <w:rPr>
          <w:rFonts w:hint="eastAsia"/>
          <w:b/>
          <w:bCs/>
        </w:rPr>
        <w:t>持续开展国家知识产权区域试点示范创建</w:t>
      </w:r>
      <w:r>
        <w:rPr>
          <w:rFonts w:hint="eastAsia"/>
        </w:rPr>
        <w:t>。</w:t>
      </w:r>
    </w:p>
    <w:p>
      <w:pPr>
        <w:ind w:firstLine="632"/>
        <w:rPr>
          <w:vanish/>
        </w:rPr>
      </w:pPr>
      <w:r>
        <w:rPr>
          <w:rFonts w:hint="eastAsia"/>
        </w:rPr>
        <w:t>扩大试点示范建设范围和影响力。完善知识产权考核体系，将知识产权工作纳入创新型经济发展考核指标体系，提高知识产权在重要创新载体建设绩效评价中的权重。</w:t>
      </w:r>
    </w:p>
    <w:p>
      <w:pPr>
        <w:ind w:firstLine="634"/>
        <w:outlineLvl w:val="3"/>
        <w:rPr>
          <w:vanish/>
        </w:rPr>
      </w:pPr>
      <w:r>
        <w:rPr>
          <w:rFonts w:hint="eastAsia"/>
          <w:b/>
          <w:bCs/>
        </w:rPr>
        <w:t>加大知识产权公共服务供给</w:t>
      </w:r>
      <w:r>
        <w:rPr>
          <w:rFonts w:hint="eastAsia"/>
        </w:rPr>
        <w:t>。</w:t>
      </w:r>
    </w:p>
    <w:p>
      <w:pPr>
        <w:ind w:firstLine="632"/>
        <w:rPr>
          <w:vanish/>
        </w:rPr>
      </w:pPr>
      <w:r>
        <w:rPr>
          <w:rFonts w:hint="eastAsia"/>
        </w:rPr>
        <w:t>跟进省知识产权大数据中心和公共服务平台建设步伐，做好我市配套支撑，实现业务服务、政务服务和信息服务建设一体化。</w:t>
      </w:r>
    </w:p>
    <w:p>
      <w:pPr>
        <w:ind w:firstLine="634"/>
        <w:outlineLvl w:val="3"/>
        <w:rPr>
          <w:vanish/>
        </w:rPr>
      </w:pPr>
      <w:r>
        <w:rPr>
          <w:rFonts w:hint="eastAsia"/>
          <w:b/>
          <w:bCs/>
        </w:rPr>
        <w:t>提升基础性知识产权公共服务水平和覆盖面</w:t>
      </w:r>
      <w:r>
        <w:rPr>
          <w:rFonts w:hint="eastAsia"/>
        </w:rPr>
        <w:t>。</w:t>
      </w:r>
    </w:p>
    <w:p>
      <w:pPr>
        <w:ind w:firstLine="632"/>
        <w:rPr>
          <w:rFonts w:ascii="黑体" w:hAnsi="黑体" w:eastAsia="黑体"/>
        </w:rPr>
      </w:pPr>
      <w:r>
        <w:rPr>
          <w:rFonts w:hint="eastAsia"/>
        </w:rPr>
        <w:t>推动知识产权公共服务下沉园区、企业，建设一批综合性知识产权服务中心。鼓励知识产权代理、法律服务向专业化和高水平发展。</w:t>
      </w:r>
    </w:p>
    <w:p>
      <w:pPr>
        <w:ind w:firstLine="632"/>
        <w:outlineLvl w:val="1"/>
        <w:rPr>
          <w:rFonts w:ascii="黑体" w:hAnsi="黑体" w:eastAsia="黑体"/>
        </w:rPr>
      </w:pPr>
      <w:r>
        <w:rPr>
          <w:rFonts w:hint="eastAsia" w:ascii="黑体" w:hAnsi="黑体" w:eastAsia="黑体"/>
        </w:rPr>
        <w:t>三、构建更加公平有效的市场监管体系</w:t>
      </w:r>
    </w:p>
    <w:p>
      <w:pPr>
        <w:ind w:firstLine="632"/>
        <w:rPr>
          <w:rFonts w:ascii="仿宋_GB2312" w:hAnsi="微软雅黑"/>
          <w:szCs w:val="32"/>
        </w:rPr>
      </w:pPr>
      <w:r>
        <w:rPr>
          <w:rFonts w:hint="eastAsia" w:ascii="宋体" w:hAnsi="宋体" w:cs="宋体"/>
          <w:kern w:val="0"/>
          <w:szCs w:val="32"/>
        </w:rPr>
        <w:t>树立新的监管理念，推进传统市场监督管理方式向多元市场监督治理转变，</w:t>
      </w:r>
      <w:r>
        <w:rPr>
          <w:rFonts w:hint="eastAsia" w:ascii="仿宋_GB2312" w:hAnsi="微软雅黑"/>
          <w:szCs w:val="32"/>
        </w:rPr>
        <w:t>加快构建权责明确、公平公正、公开透明、简约高效的事中事后监管体系，形成市场自律、政府监管、社会监督互为支撑的协同监管格局。</w:t>
      </w:r>
    </w:p>
    <w:p>
      <w:pPr>
        <w:ind w:firstLine="632"/>
        <w:outlineLvl w:val="1"/>
        <w:rPr>
          <w:rFonts w:ascii="楷体_GB2312" w:eastAsia="楷体_GB2312"/>
        </w:rPr>
      </w:pPr>
      <w:r>
        <w:rPr>
          <w:rFonts w:hint="eastAsia" w:ascii="楷体_GB2312" w:eastAsia="楷体_GB2312"/>
        </w:rPr>
        <w:t>（一）持续构建更加完善的信用监管体系</w:t>
      </w:r>
    </w:p>
    <w:p>
      <w:pPr>
        <w:ind w:firstLine="632"/>
      </w:pPr>
      <w:r>
        <w:rPr>
          <w:rFonts w:hint="eastAsia"/>
        </w:rPr>
        <w:t>着力构建以信息归集共享为基础、以信息公示为手段、以信用监管为核心的新型信用监管机制，推动形成企业自治、行业自律、政府监管、社会监督的多元社会共治格局。</w:t>
      </w:r>
    </w:p>
    <w:p>
      <w:pPr>
        <w:ind w:firstLine="632"/>
        <w:outlineLvl w:val="2"/>
        <w:rPr>
          <w:vanish/>
        </w:rPr>
      </w:pPr>
      <w:r>
        <w:t>1</w:t>
      </w:r>
      <w:r>
        <w:rPr>
          <w:rFonts w:hint="eastAsia"/>
        </w:rPr>
        <w:t>.</w:t>
      </w:r>
      <w:r>
        <w:rPr>
          <w:rFonts w:hint="eastAsia"/>
          <w:b/>
          <w:bCs/>
        </w:rPr>
        <w:t>完善信息归集公示机制</w:t>
      </w:r>
      <w:r>
        <w:rPr>
          <w:rFonts w:hint="eastAsia"/>
        </w:rPr>
        <w:t>。</w:t>
      </w:r>
    </w:p>
    <w:p>
      <w:pPr>
        <w:ind w:firstLine="632"/>
      </w:pPr>
      <w:r>
        <w:rPr>
          <w:rFonts w:hint="eastAsia"/>
        </w:rPr>
        <w:t>强化跨地区、跨部门、跨层级信息归集共享，推动国家企业信用信息公示系统全面归集市场主体各类信息并依法公示，与国家“互联网＋监管”系统等实现信息共享。整合市场监管领域涉企信息，实现行政许可、行政备案、行政处罚等涉企信息“应归尽归”，及时、全面、准确将涉企信息通过国家企业信用信息系统记于企业名下，勾画“企业画像”，依法向社会公示。建立健全信息归集长效机制，实现标准、统一、权威的监管信息大数据中心。</w:t>
      </w:r>
    </w:p>
    <w:p>
      <w:pPr>
        <w:ind w:firstLine="632"/>
        <w:outlineLvl w:val="2"/>
        <w:rPr>
          <w:vanish/>
        </w:rPr>
      </w:pPr>
      <w:r>
        <w:t>2</w:t>
      </w:r>
      <w:r>
        <w:rPr>
          <w:rFonts w:hint="eastAsia"/>
        </w:rPr>
        <w:t>.</w:t>
      </w:r>
      <w:r>
        <w:rPr>
          <w:rFonts w:hint="eastAsia"/>
          <w:b/>
          <w:bCs/>
        </w:rPr>
        <w:t>全面实施“双随机、一公开”监管</w:t>
      </w:r>
      <w:r>
        <w:rPr>
          <w:rFonts w:hint="eastAsia"/>
        </w:rPr>
        <w:t>。</w:t>
      </w:r>
    </w:p>
    <w:p>
      <w:pPr>
        <w:ind w:firstLine="632"/>
        <w:rPr>
          <w:rFonts w:ascii="仿宋_GB2312"/>
        </w:rPr>
      </w:pPr>
      <w:r>
        <w:rPr>
          <w:rFonts w:hint="eastAsia"/>
        </w:rPr>
        <w:t>除直接涉及公共安全和人民群众生命健康等特殊行业、重点领域外，推进双随机全覆盖，提升公正监管水平</w:t>
      </w:r>
      <w:r>
        <w:rPr>
          <w:rFonts w:hint="eastAsia" w:ascii="仿宋_GB2312"/>
        </w:rPr>
        <w:t>。</w:t>
      </w:r>
      <w:r>
        <w:rPr>
          <w:rFonts w:hint="eastAsia"/>
        </w:rPr>
        <w:t>坚持进一次门、查多项事，杜绝选择性执法、随意性监管</w:t>
      </w:r>
      <w:r>
        <w:rPr>
          <w:rFonts w:hint="eastAsia" w:ascii="仿宋_GB2312"/>
        </w:rPr>
        <w:t>。</w:t>
      </w:r>
      <w:r>
        <w:rPr>
          <w:rFonts w:hint="eastAsia"/>
        </w:rPr>
        <w:t>依托部门联合“双随机、一公开”监管业务平台，不断完善配套制度和工作机制，动态管理部门联合监管对象名录，将更多事项纳入多部门联合抽查检查范围</w:t>
      </w:r>
      <w:r>
        <w:rPr>
          <w:rFonts w:hint="eastAsia" w:ascii="仿宋_GB2312"/>
        </w:rPr>
        <w:t>。</w:t>
      </w:r>
      <w:r>
        <w:rPr>
          <w:rFonts w:hint="eastAsia"/>
        </w:rPr>
        <w:t>落实国家市场监管总局《关于推进企业信用风险分类管理进一步提升监管效能的意见》，推进“双随机、一公开”监管与企业信用风险分类管理的融合运用，将随机抽查的比例频次、被抽查概率与抽查对象的信用等级、风险程度挂钩，对诚信守法者“无事不扰”，对违法失信者“无处不在”，以公正监管促进公平竞争、优胜劣汰</w:t>
      </w:r>
      <w:r>
        <w:rPr>
          <w:rFonts w:hint="eastAsia" w:ascii="仿宋_GB2312"/>
        </w:rPr>
        <w:t>。</w:t>
      </w:r>
      <w:r>
        <w:rPr>
          <w:rFonts w:hint="eastAsia"/>
        </w:rPr>
        <w:t>推动部门联合“双随机、一公开”监管常态化，将更多事项纳入联合抽查范围，实现“进一次门、查多项事”，避免层层检查、重复检查</w:t>
      </w:r>
      <w:r>
        <w:rPr>
          <w:rFonts w:hint="eastAsia" w:ascii="仿宋_GB2312"/>
        </w:rPr>
        <w:t>。</w:t>
      </w:r>
    </w:p>
    <w:p>
      <w:pPr>
        <w:ind w:firstLine="632"/>
        <w:outlineLvl w:val="2"/>
        <w:rPr>
          <w:rFonts w:ascii="仿宋_GB2312"/>
          <w:vanish/>
        </w:rPr>
      </w:pPr>
      <w:r>
        <w:t>3</w:t>
      </w:r>
      <w:r>
        <w:rPr>
          <w:rFonts w:hint="eastAsia" w:ascii="仿宋_GB2312"/>
        </w:rPr>
        <w:t>.</w:t>
      </w:r>
      <w:r>
        <w:rPr>
          <w:rFonts w:hint="eastAsia"/>
          <w:b/>
          <w:bCs/>
        </w:rPr>
        <w:t>建立“信用风险分类＋预警监测”管理体系</w:t>
      </w:r>
      <w:r>
        <w:rPr>
          <w:rFonts w:hint="eastAsia" w:ascii="仿宋_GB2312"/>
        </w:rPr>
        <w:t>。</w:t>
      </w:r>
    </w:p>
    <w:p>
      <w:pPr>
        <w:ind w:firstLine="632"/>
        <w:rPr>
          <w:rFonts w:ascii="仿宋_GB2312"/>
        </w:rPr>
      </w:pPr>
      <w:r>
        <w:rPr>
          <w:rFonts w:hint="eastAsia"/>
        </w:rPr>
        <w:t>制定《沈阳市市场监管系统企业信用风险分类管理暂行办法》，建立市场监管领域信用风险分类预警评估机制，对全市企业信用风险进行精准识别和自动分类，客观真实反映企业信用风险状况，根据动态变化的信息，实现风险管理的预警监测，及时发现苗头性、区域性、行业性风险，掌握监管主动权</w:t>
      </w:r>
      <w:r>
        <w:rPr>
          <w:rFonts w:hint="eastAsia" w:ascii="仿宋_GB2312"/>
        </w:rPr>
        <w:t>。</w:t>
      </w:r>
      <w:r>
        <w:rPr>
          <w:rFonts w:hint="eastAsia"/>
        </w:rPr>
        <w:t>贯彻落实国家市场监管总局《关于加强重点领域信用监管的实施意见》，推进食品、特种设备等涉安领域信用监管，不断完善企业信息公示、“双随机、一公开”监管、信用风险分类管理、失信惩戒、信用修复等举措，强化市场主体信用承诺、年报公示等制度</w:t>
      </w:r>
      <w:r>
        <w:rPr>
          <w:rFonts w:hint="eastAsia" w:ascii="仿宋_GB2312"/>
        </w:rPr>
        <w:t>。</w:t>
      </w:r>
    </w:p>
    <w:p>
      <w:pPr>
        <w:ind w:firstLine="632"/>
        <w:outlineLvl w:val="2"/>
        <w:rPr>
          <w:vanish/>
        </w:rPr>
      </w:pPr>
      <w:r>
        <w:t>4</w:t>
      </w:r>
      <w:r>
        <w:rPr>
          <w:rFonts w:hint="eastAsia" w:ascii="仿宋_GB2312"/>
        </w:rPr>
        <w:t>.</w:t>
      </w:r>
      <w:r>
        <w:rPr>
          <w:rFonts w:hint="eastAsia"/>
          <w:b/>
          <w:bCs/>
        </w:rPr>
        <w:t>完善信用约束激励机制</w:t>
      </w:r>
      <w:r>
        <w:rPr>
          <w:rFonts w:hint="eastAsia"/>
        </w:rPr>
        <w:t>。</w:t>
      </w:r>
    </w:p>
    <w:p>
      <w:pPr>
        <w:ind w:firstLine="632"/>
      </w:pPr>
      <w:r>
        <w:rPr>
          <w:rFonts w:hint="eastAsia"/>
        </w:rPr>
        <w:t>强化经营异常名录、严重违法失信名单管理，设立并规范认定市场主体信用“黑名单”，建立企业信用与自然人信用挂钩机制，强化跨行业、跨领域、跨部门失信联合惩戒</w:t>
      </w:r>
      <w:r>
        <w:rPr>
          <w:rFonts w:hint="eastAsia" w:ascii="仿宋_GB2312"/>
        </w:rPr>
        <w:t>。</w:t>
      </w:r>
      <w:r>
        <w:rPr>
          <w:rFonts w:hint="eastAsia"/>
        </w:rPr>
        <w:t>完善企业信用修复和异议申诉等机制</w:t>
      </w:r>
      <w:r>
        <w:rPr>
          <w:rFonts w:hint="eastAsia" w:ascii="仿宋_GB2312"/>
        </w:rPr>
        <w:t>。</w:t>
      </w:r>
      <w:r>
        <w:rPr>
          <w:rFonts w:hint="eastAsia"/>
        </w:rPr>
        <w:t>依法公开在行政管理中掌握的信用信息，为社会公众提供便捷高效的企业信用查询服务</w:t>
      </w:r>
      <w:r>
        <w:rPr>
          <w:rFonts w:hint="eastAsia" w:ascii="仿宋_GB2312"/>
        </w:rPr>
        <w:t>。</w:t>
      </w:r>
    </w:p>
    <w:p>
      <w:pPr>
        <w:ind w:firstLine="632"/>
        <w:outlineLvl w:val="1"/>
        <w:rPr>
          <w:rFonts w:ascii="楷体_GB2312" w:eastAsia="楷体_GB2312"/>
        </w:rPr>
      </w:pPr>
      <w:r>
        <w:rPr>
          <w:rFonts w:hint="eastAsia" w:ascii="楷体_GB2312" w:eastAsia="楷体_GB2312"/>
        </w:rPr>
        <w:t>（二）持续构建更加完善的智慧监管体系</w:t>
      </w:r>
    </w:p>
    <w:p>
      <w:pPr>
        <w:ind w:firstLine="632"/>
      </w:pPr>
      <w:r>
        <w:rPr>
          <w:rFonts w:hint="eastAsia"/>
        </w:rPr>
        <w:t>适应新一轮科技革命和产业变革趋势，适应市场主体活跃发展的客观要求，充分发挥新科技在市场监管中的作用，</w:t>
      </w:r>
      <w:r>
        <w:rPr>
          <w:rFonts w:hint="eastAsia" w:ascii="仿宋_GB2312" w:hAnsi="微软雅黑"/>
          <w:szCs w:val="32"/>
        </w:rPr>
        <w:t>依托互联网、大数据、物联网、云计算、人工智能、区块链等新技术推动监管创新，努力做到监管效能最大化、监管成本最优化、对市场主体干扰最小化。</w:t>
      </w:r>
    </w:p>
    <w:p>
      <w:pPr>
        <w:ind w:firstLine="632"/>
        <w:outlineLvl w:val="2"/>
        <w:rPr>
          <w:rFonts w:ascii="仿宋_GB2312"/>
          <w:vanish/>
          <w:szCs w:val="32"/>
        </w:rPr>
      </w:pPr>
      <w:r>
        <w:rPr>
          <w:szCs w:val="32"/>
        </w:rPr>
        <w:t>1</w:t>
      </w:r>
      <w:r>
        <w:rPr>
          <w:rFonts w:hint="eastAsia" w:ascii="仿宋_GB2312" w:hAnsi="仿宋"/>
          <w:szCs w:val="32"/>
        </w:rPr>
        <w:t>.</w:t>
      </w:r>
      <w:r>
        <w:rPr>
          <w:rFonts w:hint="eastAsia" w:ascii="仿宋_GB2312"/>
          <w:b/>
          <w:bCs/>
          <w:szCs w:val="32"/>
        </w:rPr>
        <w:t>建设沈阳市智慧市场监管一体化系统</w:t>
      </w:r>
      <w:r>
        <w:rPr>
          <w:rFonts w:hint="eastAsia" w:ascii="仿宋_GB2312"/>
          <w:szCs w:val="32"/>
        </w:rPr>
        <w:t>。</w:t>
      </w:r>
    </w:p>
    <w:p>
      <w:pPr>
        <w:ind w:firstLine="632"/>
      </w:pPr>
      <w:r>
        <w:rPr>
          <w:rFonts w:hint="eastAsia"/>
        </w:rPr>
        <w:t>按照市委、市政府“一网统管”部署，将食品药品网格化智慧监管系统信息、特种设备智能监管系统信息与市场主体登记注册、行政许可、行政处罚、检验检测等数据关联整合，建立一体化市场安全监管平台，通过建设“大系统、大平台、大数据”，全力打通“数据壁垒”“信息烟囱”，推进与市级部门业务系统和数据共享交换平台互联互通。实现以远程监管、移动监管、预警防控为特征的非现场监管。</w:t>
      </w:r>
    </w:p>
    <w:tbl>
      <w:tblPr>
        <w:tblStyle w:val="9"/>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44" w:type="dxa"/>
            <w:tcBorders>
              <w:top w:val="nil"/>
              <w:left w:val="nil"/>
              <w:right w:val="nil"/>
            </w:tcBorders>
            <w:vAlign w:val="center"/>
          </w:tcPr>
          <w:p>
            <w:pPr>
              <w:spacing w:line="14" w:lineRule="exact"/>
              <w:ind w:firstLine="0" w:firstLineChars="0"/>
              <w:jc w:val="center"/>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4" w:type="dxa"/>
            <w:vAlign w:val="center"/>
          </w:tcPr>
          <w:p>
            <w:pPr>
              <w:spacing w:line="465" w:lineRule="exact"/>
              <w:ind w:firstLine="0" w:firstLineChars="0"/>
              <w:jc w:val="center"/>
              <w:rPr>
                <w:rFonts w:ascii="黑体" w:hAnsi="黑体" w:eastAsia="黑体"/>
                <w:sz w:val="28"/>
                <w:szCs w:val="28"/>
              </w:rPr>
            </w:pPr>
            <w:r>
              <w:rPr>
                <w:rFonts w:hint="eastAsia" w:ascii="黑体" w:hAnsi="黑体" w:eastAsia="黑体"/>
                <w:sz w:val="28"/>
                <w:szCs w:val="28"/>
              </w:rPr>
              <w:t>专栏</w:t>
            </w:r>
            <w:r>
              <w:rPr>
                <w:rFonts w:eastAsia="黑体"/>
                <w:sz w:val="28"/>
                <w:szCs w:val="28"/>
              </w:rPr>
              <w:t>6</w:t>
            </w:r>
            <w:r>
              <w:rPr>
                <w:rFonts w:hint="eastAsia" w:eastAsia="黑体"/>
                <w:sz w:val="28"/>
                <w:szCs w:val="28"/>
              </w:rPr>
              <w:t>　</w:t>
            </w:r>
            <w:r>
              <w:rPr>
                <w:rFonts w:hint="eastAsia" w:ascii="黑体" w:hAnsi="黑体" w:eastAsia="黑体"/>
                <w:sz w:val="28"/>
                <w:szCs w:val="28"/>
              </w:rPr>
              <w:t>沈阳市智慧市场监管一体化平台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844" w:type="dxa"/>
            <w:tcBorders>
              <w:bottom w:val="nil"/>
            </w:tcBorders>
            <w:shd w:val="clear" w:color="auto" w:fill="auto"/>
            <w:vAlign w:val="center"/>
          </w:tcPr>
          <w:p>
            <w:pPr>
              <w:spacing w:line="465" w:lineRule="exact"/>
              <w:ind w:firstLine="552"/>
              <w:rPr>
                <w:sz w:val="28"/>
                <w:szCs w:val="28"/>
              </w:rPr>
            </w:pPr>
            <w:r>
              <w:rPr>
                <w:rFonts w:hint="eastAsia" w:ascii="仿宋_GB2312" w:hAnsi="等线"/>
                <w:color w:val="000000"/>
                <w:sz w:val="28"/>
                <w:szCs w:val="28"/>
              </w:rPr>
              <w:t>沈阳市智慧市场监管一体化平台，主要由“一套标准规范、一套信息资源系统、一个大数据中心、一个数据资源可视化平台、一个业务应用支撑平台、三大门户组成。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844" w:type="dxa"/>
            <w:tcBorders>
              <w:top w:val="nil"/>
              <w:bottom w:val="nil"/>
            </w:tcBorders>
            <w:shd w:val="clear" w:color="auto" w:fill="auto"/>
            <w:vAlign w:val="center"/>
          </w:tcPr>
          <w:p>
            <w:pPr>
              <w:spacing w:line="465" w:lineRule="exact"/>
              <w:ind w:firstLine="552"/>
              <w:rPr>
                <w:sz w:val="28"/>
                <w:szCs w:val="28"/>
              </w:rPr>
            </w:pPr>
            <w:r>
              <w:rPr>
                <w:rFonts w:hint="eastAsia" w:ascii="仿宋_GB2312" w:hAnsi="等线"/>
                <w:color w:val="000000"/>
                <w:sz w:val="28"/>
                <w:szCs w:val="28"/>
              </w:rPr>
              <w:t>一套标准规范：建设市场监管标准规范体系，基于国家、省局、市局标准和行业标准，建立统一的市场监管数据标准、技术标准、管理规范等，确保市场监管信息化各业务平台间互联互通。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844" w:type="dxa"/>
            <w:tcBorders>
              <w:top w:val="nil"/>
              <w:bottom w:val="nil"/>
            </w:tcBorders>
            <w:shd w:val="clear" w:color="auto" w:fill="auto"/>
            <w:vAlign w:val="center"/>
          </w:tcPr>
          <w:p>
            <w:pPr>
              <w:spacing w:line="465" w:lineRule="exact"/>
              <w:ind w:firstLine="552"/>
              <w:rPr>
                <w:sz w:val="28"/>
                <w:szCs w:val="28"/>
              </w:rPr>
            </w:pPr>
            <w:r>
              <w:rPr>
                <w:rFonts w:hint="eastAsia" w:ascii="仿宋_GB2312" w:hAnsi="等线"/>
                <w:color w:val="000000"/>
                <w:sz w:val="28"/>
                <w:szCs w:val="28"/>
              </w:rPr>
              <w:t>一套信息资源系统：建设市场监管信息资源系统，通过数据目录化、市场主体信息数据档案化、数据共享标准化以及追溯数据轨迹化管理，实现业务数据的全覆盖和全生命周期管理，为市场监管大数据中心提供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8844" w:type="dxa"/>
            <w:tcBorders>
              <w:top w:val="nil"/>
            </w:tcBorders>
            <w:shd w:val="clear" w:color="auto" w:fill="auto"/>
            <w:vAlign w:val="center"/>
          </w:tcPr>
          <w:p>
            <w:pPr>
              <w:spacing w:line="465" w:lineRule="exact"/>
              <w:ind w:firstLine="552"/>
              <w:rPr>
                <w:sz w:val="28"/>
                <w:szCs w:val="28"/>
              </w:rPr>
            </w:pPr>
            <w:r>
              <w:rPr>
                <w:rFonts w:hint="eastAsia" w:ascii="仿宋_GB2312" w:hAnsi="等线"/>
                <w:color w:val="000000"/>
                <w:sz w:val="28"/>
                <w:szCs w:val="28"/>
              </w:rPr>
              <w:t>一个数据中心：在预留国家级、省级及市级其他系统接口前提下，整合沈阳市食品药品安全监测预警中心、医疗器械经营企业电子化监管系统、药品经营企业电子化监管系统、事中事后监管服务系统、沈阳企业信息库系统、行政执法全过程记录回溯管理系统，建设集市场监管业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8844" w:type="dxa"/>
            <w:shd w:val="clear" w:color="auto" w:fill="auto"/>
            <w:vAlign w:val="center"/>
          </w:tcPr>
          <w:p>
            <w:pPr>
              <w:spacing w:line="460" w:lineRule="exact"/>
              <w:ind w:firstLine="0" w:firstLineChars="0"/>
              <w:rPr>
                <w:rFonts w:ascii="仿宋_GB2312" w:hAnsi="等线"/>
                <w:color w:val="000000"/>
                <w:sz w:val="28"/>
                <w:szCs w:val="28"/>
              </w:rPr>
            </w:pPr>
            <w:r>
              <w:rPr>
                <w:rFonts w:hint="eastAsia" w:ascii="仿宋_GB2312" w:hAnsi="等线"/>
                <w:color w:val="000000"/>
                <w:sz w:val="28"/>
                <w:szCs w:val="28"/>
              </w:rPr>
              <w:t>据清洗、前置系统、市场监管业务数据集成服务、市场监管业务数据管理服务、市场监管业务数据共享平台等于一体的综合性数据中心。</w:t>
            </w:r>
          </w:p>
          <w:p>
            <w:pPr>
              <w:spacing w:line="460" w:lineRule="exact"/>
              <w:ind w:firstLine="552"/>
              <w:rPr>
                <w:sz w:val="28"/>
                <w:szCs w:val="28"/>
              </w:rPr>
            </w:pPr>
            <w:r>
              <w:rPr>
                <w:rFonts w:hint="eastAsia" w:ascii="仿宋_GB2312" w:hAnsi="等线"/>
                <w:color w:val="000000"/>
                <w:sz w:val="28"/>
                <w:szCs w:val="28"/>
              </w:rPr>
              <w:t>一个数据资源可视化平台：建设市场监管数据展示平台、市场监管数据分析平台。</w:t>
            </w:r>
          </w:p>
          <w:p>
            <w:pPr>
              <w:spacing w:line="460" w:lineRule="exact"/>
              <w:ind w:firstLine="552"/>
              <w:rPr>
                <w:sz w:val="28"/>
                <w:szCs w:val="28"/>
              </w:rPr>
            </w:pPr>
            <w:r>
              <w:rPr>
                <w:rFonts w:hint="eastAsia" w:ascii="仿宋_GB2312" w:hAnsi="等线"/>
                <w:color w:val="000000"/>
                <w:sz w:val="28"/>
                <w:szCs w:val="28"/>
              </w:rPr>
              <w:t>一个应用支撑平台：统一管控沈阳市市场监管局内各业务应用系统并提供业务应用支撑服务，为市场监管信息系统的规划、设计、开发及运行维护提供统一的标准规范和架构。</w:t>
            </w:r>
          </w:p>
          <w:p>
            <w:pPr>
              <w:spacing w:line="460" w:lineRule="exact"/>
              <w:ind w:firstLine="552"/>
              <w:rPr>
                <w:sz w:val="28"/>
                <w:szCs w:val="28"/>
              </w:rPr>
            </w:pPr>
            <w:r>
              <w:rPr>
                <w:rFonts w:hint="eastAsia" w:ascii="仿宋_GB2312" w:hAnsi="等线"/>
                <w:color w:val="000000"/>
                <w:sz w:val="28"/>
                <w:szCs w:val="28"/>
              </w:rPr>
              <w:t>三大门户：建设市场监管业务协同门户、市场监管数据可视化门户、市场监管信息共享门户在内的三大门户。提供多终端门户支持，满足不同用户群体使用便捷性需求。</w:t>
            </w:r>
          </w:p>
        </w:tc>
      </w:tr>
    </w:tbl>
    <w:p>
      <w:pPr>
        <w:ind w:firstLine="632"/>
        <w:outlineLvl w:val="2"/>
        <w:rPr>
          <w:vanish/>
        </w:rPr>
      </w:pPr>
      <w:r>
        <w:t>2</w:t>
      </w:r>
      <w:r>
        <w:rPr>
          <w:rFonts w:hint="eastAsia"/>
        </w:rPr>
        <w:t>.</w:t>
      </w:r>
      <w:r>
        <w:rPr>
          <w:rFonts w:hint="eastAsia"/>
          <w:b/>
          <w:bCs/>
        </w:rPr>
        <w:t>积极推进检验检测公共服务平台建设</w:t>
      </w:r>
      <w:r>
        <w:rPr>
          <w:rFonts w:hint="eastAsia"/>
        </w:rPr>
        <w:t>。</w:t>
      </w:r>
    </w:p>
    <w:p>
      <w:pPr>
        <w:ind w:firstLine="632"/>
      </w:pPr>
      <w:r>
        <w:rPr>
          <w:rFonts w:hint="eastAsia"/>
        </w:rPr>
        <w:t>设立检验检测对外服务交互窗口，将沈阳特检院、沈阳质检院、沈阳计量院和沈阳食药检所“三院一所”基本信息实时发布，动态更新检验检测机构业务服务范围、资质能力水平、仪器设备条件、科技人员（专家）简介、自主研发能力和相关法律法规等，全面公开收费标准、项目信息和业务办理流程，通过线上、线下多种模式，扩大经营合作和覆盖面，着力解决检验检测设备利用率低，经济效益差的问题。积极推进沈阳检验检测公共服务平台，特种设备检验检测、产品质量、计量、食品、药品信息系统“一平台、五系统”建设，通过在平台建设中融入监督元素的方式，建立“制度管人、系统管事、监督体系管行为”的新型工作模式，全面提升市场中心“治理和监督”两个体系的建设水平。</w:t>
      </w:r>
    </w:p>
    <w:p>
      <w:pPr>
        <w:ind w:firstLine="632"/>
        <w:outlineLvl w:val="2"/>
        <w:rPr>
          <w:rFonts w:ascii="仿宋_GB2312" w:hAnsi="仿宋"/>
          <w:vanish/>
          <w:szCs w:val="32"/>
        </w:rPr>
      </w:pPr>
      <w:r>
        <w:t>3</w:t>
      </w:r>
      <w:r>
        <w:rPr>
          <w:rFonts w:hint="eastAsia"/>
        </w:rPr>
        <w:t>.</w:t>
      </w:r>
      <w:r>
        <w:rPr>
          <w:rFonts w:hint="eastAsia" w:ascii="仿宋_GB2312" w:hAnsi="仿宋"/>
          <w:b/>
          <w:bCs/>
          <w:szCs w:val="32"/>
        </w:rPr>
        <w:t>积极探索“互联网＋质量服务”新路径</w:t>
      </w:r>
      <w:r>
        <w:rPr>
          <w:rFonts w:hint="eastAsia" w:ascii="仿宋_GB2312" w:hAnsi="仿宋"/>
          <w:szCs w:val="32"/>
        </w:rPr>
        <w:t>。</w:t>
      </w:r>
    </w:p>
    <w:p>
      <w:pPr>
        <w:ind w:firstLine="632"/>
      </w:pPr>
      <w:r>
        <w:rPr>
          <w:rFonts w:hint="eastAsia"/>
        </w:rPr>
        <w:t>开展质量基础设施</w:t>
      </w:r>
      <w:bookmarkStart w:id="15" w:name="_Hlk86051198"/>
      <w:r>
        <w:rPr>
          <w:rFonts w:hint="eastAsia"/>
        </w:rPr>
        <w:t>“一站式”服务</w:t>
      </w:r>
      <w:bookmarkEnd w:id="15"/>
      <w:r>
        <w:rPr>
          <w:rFonts w:hint="eastAsia"/>
        </w:rPr>
        <w:t>试点，</w:t>
      </w:r>
      <w:r>
        <w:t>根据</w:t>
      </w:r>
      <w:r>
        <w:rPr>
          <w:rFonts w:hint="eastAsia"/>
        </w:rPr>
        <w:t>都市圈</w:t>
      </w:r>
      <w:r>
        <w:t>产业特点、企业需要和资源现状，因地制宜搭建</w:t>
      </w:r>
      <w:r>
        <w:rPr>
          <w:rFonts w:hint="eastAsia"/>
        </w:rPr>
        <w:t>涵盖特种设备、产品质量、计量检定校准、食品和药品检验检测</w:t>
      </w:r>
      <w:r>
        <w:t>5</w:t>
      </w:r>
      <w:r>
        <w:rPr>
          <w:rFonts w:hint="eastAsia"/>
        </w:rPr>
        <w:t>类业务、辐射沈阳都市圈的公共服务平台，统一各类业务受理入口，建立网上预约、网上受理、网上查询等信息化功能模块，并与线下业务对应融合，</w:t>
      </w:r>
      <w:r>
        <w:t>探索构建</w:t>
      </w:r>
      <w:r>
        <w:rPr>
          <w:rFonts w:hint="eastAsia"/>
        </w:rPr>
        <w:t>都市</w:t>
      </w:r>
      <w:r>
        <w:t>“互联网+质量基础设施”服务生态。</w:t>
      </w:r>
    </w:p>
    <w:p>
      <w:pPr>
        <w:ind w:firstLine="632"/>
        <w:outlineLvl w:val="1"/>
        <w:rPr>
          <w:rFonts w:ascii="楷体_GB2312" w:eastAsia="楷体_GB2312"/>
        </w:rPr>
      </w:pPr>
      <w:r>
        <w:rPr>
          <w:rFonts w:hint="eastAsia" w:ascii="楷体_GB2312" w:eastAsia="楷体_GB2312"/>
        </w:rPr>
        <w:t>（三）创新丰富市场监管工具</w:t>
      </w:r>
    </w:p>
    <w:p>
      <w:pPr>
        <w:ind w:firstLine="632"/>
        <w:outlineLvl w:val="2"/>
        <w:rPr>
          <w:rFonts w:ascii="仿宋_GB2312"/>
          <w:vanish/>
        </w:rPr>
      </w:pPr>
      <w:r>
        <w:t>1.</w:t>
      </w:r>
      <w:r>
        <w:rPr>
          <w:rFonts w:hint="eastAsia"/>
          <w:b/>
        </w:rPr>
        <w:t>探索完善包容审慎监管机制</w:t>
      </w:r>
      <w:r>
        <w:rPr>
          <w:rFonts w:hint="eastAsia" w:ascii="仿宋_GB2312"/>
        </w:rPr>
        <w:t>。</w:t>
      </w:r>
    </w:p>
    <w:p>
      <w:pPr>
        <w:ind w:firstLine="632"/>
        <w:rPr>
          <w:rFonts w:ascii="仿宋_GB2312"/>
        </w:rPr>
      </w:pPr>
      <w:r>
        <w:rPr>
          <w:rFonts w:hint="eastAsia"/>
        </w:rPr>
        <w:t>分类制定包容审慎监管的具体措施办法，动态优化免罚清单，提升监管包容性</w:t>
      </w:r>
      <w:r>
        <w:rPr>
          <w:rFonts w:hint="eastAsia" w:ascii="仿宋_GB2312"/>
        </w:rPr>
        <w:t>。根据国家和省局部署，</w:t>
      </w:r>
      <w:r>
        <w:rPr>
          <w:rFonts w:hint="eastAsia"/>
        </w:rPr>
        <w:t>探索创新与线上服务、产业数字化、平台经济、共享经济等新经济相适应的监管模式，探索实施触发式监管、“沙盒监管”、敏捷治理等新型监管机制手段</w:t>
      </w:r>
      <w:r>
        <w:rPr>
          <w:rFonts w:hint="eastAsia" w:ascii="仿宋_GB2312"/>
        </w:rPr>
        <w:t>。</w:t>
      </w:r>
    </w:p>
    <w:p>
      <w:pPr>
        <w:ind w:firstLine="632"/>
        <w:outlineLvl w:val="2"/>
        <w:rPr>
          <w:rFonts w:ascii="仿宋_GB2312"/>
          <w:vanish/>
        </w:rPr>
      </w:pPr>
      <w:r>
        <w:t>2</w:t>
      </w:r>
      <w:r>
        <w:rPr>
          <w:rFonts w:hint="eastAsia" w:ascii="仿宋_GB2312"/>
        </w:rPr>
        <w:t>.</w:t>
      </w:r>
      <w:r>
        <w:rPr>
          <w:rFonts w:hint="eastAsia"/>
          <w:b/>
        </w:rPr>
        <w:t>加强政府部门协同监管</w:t>
      </w:r>
      <w:r>
        <w:rPr>
          <w:rFonts w:hint="eastAsia" w:ascii="仿宋_GB2312"/>
        </w:rPr>
        <w:t>。</w:t>
      </w:r>
    </w:p>
    <w:p>
      <w:pPr>
        <w:ind w:firstLine="632"/>
      </w:pPr>
      <w:r>
        <w:rPr>
          <w:rFonts w:hint="eastAsia"/>
        </w:rPr>
        <w:t>按照“谁审批、谁监管，谁主管、谁监管”的原则，厘清行业管理与市场监管的职能边界</w:t>
      </w:r>
      <w:r>
        <w:rPr>
          <w:rFonts w:hint="eastAsia" w:ascii="仿宋_GB2312"/>
        </w:rPr>
        <w:t>。</w:t>
      </w:r>
      <w:r>
        <w:rPr>
          <w:rFonts w:hint="eastAsia"/>
        </w:rPr>
        <w:t>推动建立跨部门协同监管联动机制，形成职责明确、信息顺畅、密切协作的监管格局</w:t>
      </w:r>
      <w:r>
        <w:rPr>
          <w:rFonts w:hint="eastAsia" w:ascii="仿宋_GB2312"/>
        </w:rPr>
        <w:t>。</w:t>
      </w:r>
      <w:r>
        <w:rPr>
          <w:rFonts w:hint="eastAsia"/>
        </w:rPr>
        <w:t>推动实现违法线索互通、监管标准互通、处理结果互认，各部门统筹共享使用监管资源</w:t>
      </w:r>
      <w:r>
        <w:rPr>
          <w:rFonts w:hint="eastAsia" w:ascii="仿宋_GB2312"/>
        </w:rPr>
        <w:t>。</w:t>
      </w:r>
    </w:p>
    <w:p>
      <w:pPr>
        <w:ind w:firstLine="632"/>
        <w:outlineLvl w:val="2"/>
        <w:rPr>
          <w:vanish/>
        </w:rPr>
      </w:pPr>
      <w:r>
        <w:t>3</w:t>
      </w:r>
      <w:r>
        <w:rPr>
          <w:rFonts w:hint="eastAsia" w:ascii="仿宋_GB2312"/>
        </w:rPr>
        <w:t>.</w:t>
      </w:r>
      <w:r>
        <w:rPr>
          <w:rFonts w:hint="eastAsia" w:ascii="仿宋_GB2312"/>
          <w:b/>
          <w:bCs/>
        </w:rPr>
        <w:t>完善市场化社会化多元监管工具</w:t>
      </w:r>
      <w:r>
        <w:rPr>
          <w:rFonts w:hint="eastAsia"/>
        </w:rPr>
        <w:t>。</w:t>
      </w:r>
    </w:p>
    <w:p>
      <w:pPr>
        <w:ind w:firstLine="632"/>
      </w:pPr>
      <w:r>
        <w:rPr>
          <w:rFonts w:hint="eastAsia"/>
        </w:rPr>
        <w:t>遵循经济规律，运用市场机制推动主体责任和监督责任落实，加强企业信用信息深度开发利用，引导市场根据企业信用状况评估交易风险。创新社会监督引导方式，在涉及人民群众身体健康和生命财产安全、公共安全领域强化举报制度，落实内部举报人奖励政策。注重发挥行业协会商会专业优势，支持协会商会加强行业自律。建立完善市场监管领域新闻传播和交流协作机制，强化舆情监测，提高发现和处置苗头性、趋势性问题的能力。</w:t>
      </w:r>
    </w:p>
    <w:p>
      <w:pPr>
        <w:ind w:firstLine="632"/>
        <w:outlineLvl w:val="2"/>
        <w:rPr>
          <w:rFonts w:ascii="仿宋_GB2312"/>
          <w:vanish/>
        </w:rPr>
      </w:pPr>
      <w:r>
        <w:t>4</w:t>
      </w:r>
      <w:r>
        <w:rPr>
          <w:rFonts w:hint="eastAsia"/>
        </w:rPr>
        <w:t>.</w:t>
      </w:r>
      <w:r>
        <w:rPr>
          <w:rFonts w:hint="eastAsia"/>
          <w:b/>
        </w:rPr>
        <w:t>完善监管执法改革措施</w:t>
      </w:r>
      <w:r>
        <w:rPr>
          <w:rFonts w:hint="eastAsia" w:ascii="仿宋_GB2312"/>
        </w:rPr>
        <w:t>。</w:t>
      </w:r>
    </w:p>
    <w:p>
      <w:pPr>
        <w:ind w:firstLine="632"/>
      </w:pPr>
      <w:r>
        <w:rPr>
          <w:rFonts w:hint="eastAsia"/>
        </w:rPr>
        <w:t>按照《深化市场监管综合行政执法改革实施方案》部署，完善综合执法监管体系</w:t>
      </w:r>
      <w:r>
        <w:rPr>
          <w:rFonts w:hint="eastAsia" w:ascii="仿宋_GB2312"/>
        </w:rPr>
        <w:t>。</w:t>
      </w:r>
      <w:r>
        <w:rPr>
          <w:rFonts w:hint="eastAsia"/>
        </w:rPr>
        <w:t>加大执法办案指导力度，通过现场督导、挂牌督办、案件交办等，压实区县监管执法责任，切实提高办案质量</w:t>
      </w:r>
      <w:r>
        <w:rPr>
          <w:rFonts w:hint="eastAsia" w:ascii="仿宋_GB2312"/>
        </w:rPr>
        <w:t>。</w:t>
      </w:r>
      <w:r>
        <w:rPr>
          <w:rFonts w:hint="eastAsia"/>
        </w:rPr>
        <w:t>健全完善各监管执法领域尽职免责办法，明确履职标准和评判界线</w:t>
      </w:r>
      <w:r>
        <w:rPr>
          <w:rFonts w:hint="eastAsia" w:ascii="仿宋_GB2312"/>
        </w:rPr>
        <w:t>。</w:t>
      </w:r>
    </w:p>
    <w:p>
      <w:pPr>
        <w:ind w:firstLine="632"/>
        <w:outlineLvl w:val="2"/>
        <w:rPr>
          <w:rFonts w:ascii="仿宋_GB2312"/>
          <w:vanish/>
        </w:rPr>
      </w:pPr>
      <w:r>
        <w:t>5.</w:t>
      </w:r>
      <w:r>
        <w:rPr>
          <w:rFonts w:hint="eastAsia"/>
          <w:b/>
        </w:rPr>
        <w:t>加强案件查办打击力度</w:t>
      </w:r>
      <w:r>
        <w:rPr>
          <w:rFonts w:hint="eastAsia" w:ascii="仿宋_GB2312"/>
        </w:rPr>
        <w:t>。</w:t>
      </w:r>
    </w:p>
    <w:p>
      <w:pPr>
        <w:ind w:firstLine="632"/>
      </w:pPr>
      <w:r>
        <w:rPr>
          <w:rFonts w:hint="eastAsia"/>
        </w:rPr>
        <w:t>对监管中发现的违法违规问题，综合运用行政强制、行政处罚、联合惩戒、移送司法机关处理等手段，依法进行惩处</w:t>
      </w:r>
      <w:r>
        <w:rPr>
          <w:rFonts w:hint="eastAsia" w:ascii="仿宋_GB2312"/>
        </w:rPr>
        <w:t>。</w:t>
      </w:r>
      <w:r>
        <w:rPr>
          <w:rFonts w:hint="eastAsia"/>
        </w:rPr>
        <w:t>对情节轻微、负面影响较小的苗头性问题，在坚持依法行政的同时，主要采取行政指导、行政约谈、书面告诫、责令改正等柔性措施，及时予以纠正；对情节和后果严重的，要坚决予以严惩</w:t>
      </w:r>
      <w:r>
        <w:rPr>
          <w:rFonts w:hint="eastAsia" w:ascii="仿宋_GB2312"/>
        </w:rPr>
        <w:t>。</w:t>
      </w:r>
      <w:r>
        <w:rPr>
          <w:rFonts w:hint="eastAsia"/>
        </w:rPr>
        <w:t>统一执法程序和执法标准，健全行政处罚自由裁量制度，修订行政处罚自由裁量基准，严格规范自由裁量权的行使</w:t>
      </w:r>
      <w:r>
        <w:rPr>
          <w:rFonts w:hint="eastAsia" w:ascii="仿宋_GB2312"/>
        </w:rPr>
        <w:t>。</w:t>
      </w:r>
      <w:r>
        <w:rPr>
          <w:rFonts w:hint="eastAsia"/>
        </w:rPr>
        <w:t>严格执行案件移送标准和程序，加强行政执法与刑事司法衔接</w:t>
      </w:r>
      <w:r>
        <w:rPr>
          <w:rFonts w:hint="eastAsia" w:ascii="仿宋_GB2312"/>
        </w:rPr>
        <w:t>。</w:t>
      </w:r>
    </w:p>
    <w:p>
      <w:pPr>
        <w:ind w:firstLine="632"/>
        <w:outlineLvl w:val="2"/>
        <w:rPr>
          <w:rFonts w:ascii="仿宋_GB2312"/>
          <w:vanish/>
        </w:rPr>
      </w:pPr>
      <w:r>
        <w:t>6.</w:t>
      </w:r>
      <w:r>
        <w:rPr>
          <w:rFonts w:hint="eastAsia"/>
          <w:b/>
        </w:rPr>
        <w:t>强化议事协调机构功能</w:t>
      </w:r>
      <w:r>
        <w:rPr>
          <w:rFonts w:hint="eastAsia" w:ascii="仿宋_GB2312"/>
        </w:rPr>
        <w:t>。</w:t>
      </w:r>
    </w:p>
    <w:p>
      <w:pPr>
        <w:ind w:firstLine="632"/>
      </w:pPr>
      <w:r>
        <w:rPr>
          <w:rFonts w:hint="eastAsia"/>
        </w:rPr>
        <w:t>强化沈阳市深化商事制度改革领导小组、沈阳市食品安全领导小组、沈阳市扶持个体工商户发展领导小组、沈阳市知识产权工作领导小组、沈阳市实施标准化战略（国家标准化改革创新先行区工作）领导小组、市政府部门企业信息归集公示工作协调小组、沈阳市质量强市领导小组、沈阳市打击传销领导小组、沈阳市公平竞争审查联席会议功能，完善公平竞争审查、网络市场监管、知识产权保护、消费者权益保护、标准化、计量、特种设备安全工作制度，健全市场监管统一协调、分工负责体系，建立行政执法与刑事司法衔接、诉调对接、仲调对接工作机制，全面深化“放管服”改革，以“整体型政府”理念，引领构建现代市场监管新格局。</w:t>
      </w:r>
    </w:p>
    <w:p>
      <w:pPr>
        <w:ind w:firstLine="632"/>
        <w:outlineLvl w:val="1"/>
        <w:rPr>
          <w:rFonts w:ascii="楷体_GB2312" w:eastAsia="楷体_GB2312"/>
        </w:rPr>
      </w:pPr>
      <w:r>
        <w:rPr>
          <w:rFonts w:hint="eastAsia" w:ascii="楷体_GB2312" w:eastAsia="楷体_GB2312"/>
        </w:rPr>
        <w:t>（四）优化市场监管法治体系</w:t>
      </w:r>
    </w:p>
    <w:p>
      <w:pPr>
        <w:ind w:firstLine="632"/>
      </w:pPr>
      <w:r>
        <w:rPr>
          <w:rFonts w:hint="eastAsia"/>
        </w:rPr>
        <w:t>深入贯彻落实《法治沈阳建设实施方案（</w:t>
      </w:r>
      <w:r>
        <w:t>2021</w:t>
      </w:r>
      <w:r>
        <w:rPr>
          <w:rFonts w:hint="eastAsia"/>
        </w:rPr>
        <w:t>—</w:t>
      </w:r>
      <w:r>
        <w:t>2025</w:t>
      </w:r>
      <w:r>
        <w:rPr>
          <w:rFonts w:hint="eastAsia"/>
        </w:rPr>
        <w:t>）》《法治市场监管建设实施纲要（</w:t>
      </w:r>
      <w:r>
        <w:t>2021</w:t>
      </w:r>
      <w:r>
        <w:rPr>
          <w:rFonts w:hint="eastAsia"/>
        </w:rPr>
        <w:t>－</w:t>
      </w:r>
      <w:r>
        <w:t>2025</w:t>
      </w:r>
      <w:r>
        <w:rPr>
          <w:rFonts w:hint="eastAsia"/>
        </w:rPr>
        <w:t>年）》，推动法治工作全局化、全局工作法治化，坚持职权法定、依法履职，恪守法定职责必须为、法无授权不可为，推进事中事后监管法治化、制度化、规范化</w:t>
      </w:r>
      <w:r>
        <w:rPr>
          <w:rFonts w:hint="eastAsia" w:ascii="仿宋_GB2312"/>
        </w:rPr>
        <w:t>。</w:t>
      </w:r>
    </w:p>
    <w:p>
      <w:pPr>
        <w:ind w:firstLine="632"/>
        <w:outlineLvl w:val="2"/>
        <w:rPr>
          <w:rFonts w:ascii="仿宋_GB2312"/>
          <w:vanish/>
        </w:rPr>
      </w:pPr>
      <w:r>
        <w:t>1.</w:t>
      </w:r>
      <w:r>
        <w:rPr>
          <w:rFonts w:hint="eastAsia"/>
          <w:b/>
        </w:rPr>
        <w:t>完善市场监管法规制度</w:t>
      </w:r>
      <w:r>
        <w:rPr>
          <w:rFonts w:hint="eastAsia" w:ascii="仿宋_GB2312"/>
        </w:rPr>
        <w:t>。</w:t>
      </w:r>
    </w:p>
    <w:p>
      <w:pPr>
        <w:ind w:firstLine="632"/>
      </w:pPr>
      <w:r>
        <w:rPr>
          <w:rFonts w:hint="eastAsia"/>
        </w:rPr>
        <w:t>贯彻落实习近平法治思想，持续清理市场监管领域地方政府规章和规范性文件，配合国家、省局，加快推动市场监管地方法规规章规定“立改废释”工作</w:t>
      </w:r>
      <w:r>
        <w:rPr>
          <w:rFonts w:hint="eastAsia" w:ascii="仿宋_GB2312"/>
        </w:rPr>
        <w:t>。</w:t>
      </w:r>
      <w:r>
        <w:rPr>
          <w:rFonts w:hint="eastAsia"/>
        </w:rPr>
        <w:t>优化市场监管执法规则，完备各项配套制度，推进市场监管规则融合</w:t>
      </w:r>
      <w:r>
        <w:rPr>
          <w:rFonts w:hint="eastAsia" w:ascii="仿宋_GB2312"/>
        </w:rPr>
        <w:t>。编制实施市场监管部门权责清单，及时进行动态调整，并向社会公开，确保权责一致、履职到位。</w:t>
      </w:r>
      <w:r>
        <w:rPr>
          <w:rFonts w:hint="eastAsia"/>
        </w:rPr>
        <w:t>全面贯彻行政执法“三项制度”，深入推进市场监管行政执法要素公开，全面实现行政执法过程信息全记录、重大行政执法决定法治审核全覆盖</w:t>
      </w:r>
      <w:r>
        <w:rPr>
          <w:rFonts w:hint="eastAsia" w:ascii="仿宋_GB2312"/>
        </w:rPr>
        <w:t>。</w:t>
      </w:r>
      <w:r>
        <w:rPr>
          <w:rFonts w:hint="eastAsia"/>
        </w:rPr>
        <w:t>落实重大行政处罚案件负责人集体讨论制度</w:t>
      </w:r>
      <w:r>
        <w:rPr>
          <w:rFonts w:hint="eastAsia" w:ascii="仿宋_GB2312"/>
        </w:rPr>
        <w:t>。</w:t>
      </w:r>
      <w:r>
        <w:rPr>
          <w:rFonts w:hint="eastAsia"/>
        </w:rPr>
        <w:t>建立公职律师和法律顾问制度</w:t>
      </w:r>
      <w:r>
        <w:rPr>
          <w:rFonts w:hint="eastAsia" w:ascii="仿宋_GB2312"/>
        </w:rPr>
        <w:t>。</w:t>
      </w:r>
    </w:p>
    <w:p>
      <w:pPr>
        <w:ind w:firstLine="632"/>
        <w:outlineLvl w:val="2"/>
        <w:rPr>
          <w:rFonts w:ascii="仿宋_GB2312"/>
          <w:vanish/>
        </w:rPr>
      </w:pPr>
      <w:r>
        <w:t>2.</w:t>
      </w:r>
      <w:r>
        <w:rPr>
          <w:rFonts w:hint="eastAsia"/>
          <w:b/>
        </w:rPr>
        <w:t>建立行政执法监督体系</w:t>
      </w:r>
      <w:r>
        <w:rPr>
          <w:rFonts w:hint="eastAsia" w:ascii="仿宋_GB2312"/>
        </w:rPr>
        <w:t>。</w:t>
      </w:r>
    </w:p>
    <w:p>
      <w:pPr>
        <w:ind w:firstLine="632"/>
      </w:pPr>
      <w:r>
        <w:rPr>
          <w:rFonts w:hint="eastAsia"/>
        </w:rPr>
        <w:t>完善常态化执法监督制度，采取执法评议考核、执法案卷评查、执法案例指导等多种方式，加强行政执法全过程监督，纠正不履职、违法履职和不当履职行为</w:t>
      </w:r>
      <w:r>
        <w:rPr>
          <w:rFonts w:hint="eastAsia" w:ascii="仿宋_GB2312"/>
        </w:rPr>
        <w:t>。</w:t>
      </w:r>
      <w:r>
        <w:rPr>
          <w:rFonts w:hint="eastAsia"/>
        </w:rPr>
        <w:t>推进和落实行政执法责任制</w:t>
      </w:r>
      <w:r>
        <w:rPr>
          <w:rFonts w:hint="eastAsia" w:ascii="仿宋_GB2312"/>
        </w:rPr>
        <w:t>。</w:t>
      </w:r>
      <w:r>
        <w:rPr>
          <w:rFonts w:hint="eastAsia"/>
        </w:rPr>
        <w:t>开展专项执法监督，加强重点领域规范执法情况监督检查</w:t>
      </w:r>
      <w:r>
        <w:rPr>
          <w:rFonts w:hint="eastAsia" w:ascii="仿宋_GB2312"/>
        </w:rPr>
        <w:t>。</w:t>
      </w:r>
      <w:r>
        <w:rPr>
          <w:rFonts w:hint="eastAsia"/>
        </w:rPr>
        <w:t>开展重大行政决策、规范性文件合法性审核和重大执法决定法治审核</w:t>
      </w:r>
      <w:r>
        <w:rPr>
          <w:rFonts w:hint="eastAsia" w:ascii="仿宋_GB2312"/>
        </w:rPr>
        <w:t>。</w:t>
      </w:r>
      <w:r>
        <w:rPr>
          <w:rFonts w:hint="eastAsia"/>
        </w:rPr>
        <w:t>探索市场监管法治建设评价制度，研究评价方法、指标体系和评分标准</w:t>
      </w:r>
      <w:r>
        <w:rPr>
          <w:rFonts w:hint="eastAsia" w:ascii="仿宋_GB2312"/>
        </w:rPr>
        <w:t>。</w:t>
      </w:r>
    </w:p>
    <w:p>
      <w:pPr>
        <w:ind w:firstLine="632"/>
        <w:outlineLvl w:val="2"/>
        <w:rPr>
          <w:rFonts w:ascii="仿宋_GB2312"/>
          <w:vanish/>
        </w:rPr>
      </w:pPr>
      <w:r>
        <w:t>3.</w:t>
      </w:r>
      <w:r>
        <w:rPr>
          <w:rFonts w:hint="eastAsia"/>
          <w:b/>
        </w:rPr>
        <w:t>提升依法行政能力</w:t>
      </w:r>
      <w:r>
        <w:rPr>
          <w:rFonts w:hint="eastAsia" w:ascii="仿宋_GB2312"/>
        </w:rPr>
        <w:t>。</w:t>
      </w:r>
    </w:p>
    <w:p>
      <w:pPr>
        <w:ind w:firstLine="632"/>
      </w:pPr>
      <w:r>
        <w:rPr>
          <w:rFonts w:hint="eastAsia"/>
        </w:rPr>
        <w:t>严格规范市场监管执法主体、程序、法律适用和自由裁量等情形</w:t>
      </w:r>
      <w:r>
        <w:rPr>
          <w:rFonts w:hint="eastAsia" w:ascii="仿宋_GB2312"/>
        </w:rPr>
        <w:t>。</w:t>
      </w:r>
      <w:r>
        <w:rPr>
          <w:rFonts w:hint="eastAsia"/>
        </w:rPr>
        <w:t>加强执法主体资格和执法证件管理，完善行政执法权责清单动态调整机制</w:t>
      </w:r>
      <w:r>
        <w:rPr>
          <w:rFonts w:hint="eastAsia" w:ascii="仿宋_GB2312"/>
        </w:rPr>
        <w:t>。</w:t>
      </w:r>
      <w:r>
        <w:rPr>
          <w:rFonts w:hint="eastAsia"/>
        </w:rPr>
        <w:t>压减重复或不必要的检查事项，严格执行涉企行政执法检查计划，规范涉企执法检查行为</w:t>
      </w:r>
      <w:r>
        <w:rPr>
          <w:rFonts w:hint="eastAsia" w:ascii="仿宋_GB2312"/>
        </w:rPr>
        <w:t>。</w:t>
      </w:r>
      <w:r>
        <w:rPr>
          <w:rFonts w:hint="eastAsia"/>
        </w:rPr>
        <w:t>建立市场监管法治人才库，建立重大立法、执法问题法律咨询机制，有效防范化解市场监管法律风险</w:t>
      </w:r>
      <w:r>
        <w:rPr>
          <w:rFonts w:hint="eastAsia" w:ascii="仿宋_GB2312"/>
        </w:rPr>
        <w:t>。</w:t>
      </w:r>
      <w:r>
        <w:rPr>
          <w:rFonts w:hint="eastAsia"/>
        </w:rPr>
        <w:t>加强法治培训和业务培训，提升执法人员运用法治思维和法治方式开展工作、解决问题的能力</w:t>
      </w:r>
      <w:r>
        <w:rPr>
          <w:rFonts w:hint="eastAsia" w:ascii="仿宋_GB2312"/>
        </w:rPr>
        <w:t>。</w:t>
      </w:r>
    </w:p>
    <w:p>
      <w:pPr>
        <w:ind w:firstLine="632"/>
        <w:outlineLvl w:val="2"/>
        <w:rPr>
          <w:rFonts w:ascii="仿宋_GB2312"/>
          <w:vanish/>
        </w:rPr>
      </w:pPr>
      <w:r>
        <w:t>4.</w:t>
      </w:r>
      <w:r>
        <w:rPr>
          <w:rFonts w:hint="eastAsia"/>
          <w:b/>
        </w:rPr>
        <w:t>加强市场监管法治宣传</w:t>
      </w:r>
      <w:r>
        <w:rPr>
          <w:rFonts w:hint="eastAsia" w:ascii="仿宋_GB2312"/>
        </w:rPr>
        <w:t>。</w:t>
      </w:r>
    </w:p>
    <w:p>
      <w:pPr>
        <w:ind w:firstLine="632"/>
      </w:pPr>
      <w:r>
        <w:rPr>
          <w:rFonts w:hint="eastAsia"/>
        </w:rPr>
        <w:t>制定市场监管“八五”普法规划，贯彻落实“谁执法、谁普法”责任制，建立常态化普法宣传工作机制，将普法宣传贯穿到立法、执法、监管全过程</w:t>
      </w:r>
      <w:r>
        <w:rPr>
          <w:rFonts w:hint="eastAsia" w:ascii="仿宋_GB2312"/>
        </w:rPr>
        <w:t>。</w:t>
      </w:r>
      <w:r>
        <w:rPr>
          <w:rFonts w:hint="eastAsia"/>
        </w:rPr>
        <w:t>加强宪法和民法典宣传</w:t>
      </w:r>
      <w:r>
        <w:rPr>
          <w:rFonts w:hint="eastAsia" w:ascii="仿宋_GB2312"/>
        </w:rPr>
        <w:t>。</w:t>
      </w:r>
      <w:r>
        <w:rPr>
          <w:rFonts w:hint="eastAsia"/>
        </w:rPr>
        <w:t>以新颁布、新修订、涉及生命财产安全等法律法规为重点，开展日常和专项法治宣传，营造良好的市场监管法治氛围</w:t>
      </w:r>
      <w:r>
        <w:rPr>
          <w:rFonts w:hint="eastAsia" w:ascii="仿宋_GB2312"/>
        </w:rPr>
        <w:t>。</w:t>
      </w:r>
    </w:p>
    <w:p>
      <w:pPr>
        <w:ind w:firstLine="632"/>
        <w:outlineLvl w:val="2"/>
        <w:rPr>
          <w:rFonts w:ascii="仿宋_GB2312"/>
          <w:vanish/>
        </w:rPr>
      </w:pPr>
      <w:r>
        <w:t>5.</w:t>
      </w:r>
      <w:r>
        <w:rPr>
          <w:rFonts w:hint="eastAsia"/>
          <w:b/>
        </w:rPr>
        <w:t>完善考核评价体系</w:t>
      </w:r>
      <w:r>
        <w:rPr>
          <w:rFonts w:hint="eastAsia" w:ascii="仿宋_GB2312"/>
        </w:rPr>
        <w:t>。</w:t>
      </w:r>
    </w:p>
    <w:p>
      <w:pPr>
        <w:ind w:firstLine="632"/>
      </w:pPr>
      <w:r>
        <w:rPr>
          <w:rFonts w:hint="eastAsia"/>
        </w:rPr>
        <w:t>完善食品安全、个转企、质量提升、公共服务、政府质量考核、打击侵犯知识产权和制售假冒伪劣、特种设备安全督查评议考核制度，落实部门和属地责任</w:t>
      </w:r>
      <w:r>
        <w:rPr>
          <w:rFonts w:hint="eastAsia" w:ascii="仿宋_GB2312"/>
        </w:rPr>
        <w:t>。</w:t>
      </w:r>
      <w:r>
        <w:rPr>
          <w:rFonts w:hint="eastAsia"/>
        </w:rPr>
        <w:t>严格落实食品安全“处罚到人”制度，落实源头严防、过程严管、风险严控要求</w:t>
      </w:r>
      <w:r>
        <w:rPr>
          <w:rFonts w:hint="eastAsia" w:ascii="仿宋_GB2312"/>
        </w:rPr>
        <w:t>。</w:t>
      </w:r>
      <w:r>
        <w:rPr>
          <w:rFonts w:hint="eastAsia"/>
        </w:rPr>
        <w:t>建立完善市场监管工作质量管理体系，不断提升市场监管规范化、精细化水平</w:t>
      </w:r>
      <w:r>
        <w:rPr>
          <w:rFonts w:hint="eastAsia" w:ascii="仿宋_GB2312"/>
        </w:rPr>
        <w:t>。</w:t>
      </w:r>
    </w:p>
    <w:p>
      <w:pPr>
        <w:spacing w:before="579" w:beforeLines="100" w:after="579" w:afterLines="100"/>
        <w:ind w:firstLine="0" w:firstLineChars="0"/>
        <w:jc w:val="center"/>
        <w:outlineLvl w:val="0"/>
        <w:rPr>
          <w:rFonts w:ascii="黑体" w:hAnsi="黑体" w:eastAsia="黑体"/>
        </w:rPr>
      </w:pPr>
      <w:r>
        <w:rPr>
          <w:rFonts w:hint="eastAsia" w:ascii="黑体" w:hAnsi="黑体" w:eastAsia="黑体"/>
        </w:rPr>
        <w:t>第四章　组织实施</w:t>
      </w:r>
    </w:p>
    <w:p>
      <w:pPr>
        <w:ind w:firstLine="632"/>
        <w:outlineLvl w:val="1"/>
        <w:rPr>
          <w:rFonts w:ascii="黑体" w:hAnsi="黑体" w:eastAsia="黑体"/>
        </w:rPr>
      </w:pPr>
      <w:r>
        <w:rPr>
          <w:rFonts w:hint="eastAsia" w:ascii="黑体" w:hAnsi="黑体" w:eastAsia="黑体"/>
        </w:rPr>
        <w:t>一、加强组织领导</w:t>
      </w:r>
    </w:p>
    <w:p>
      <w:pPr>
        <w:ind w:firstLine="632"/>
      </w:pPr>
      <w:r>
        <w:rPr>
          <w:rFonts w:hint="eastAsia"/>
        </w:rPr>
        <w:t>全市市场监管部门要树立大局观念，把加强和改善市场监管作为推动改革、促进发展的一项重大任务，作为优化营商环境、建设国家中心城市的重要保障，科学统筹“十四五”市场监管规划的组织实施</w:t>
      </w:r>
      <w:r>
        <w:rPr>
          <w:rFonts w:hint="eastAsia" w:ascii="仿宋_GB2312"/>
        </w:rPr>
        <w:t>。</w:t>
      </w:r>
      <w:r>
        <w:rPr>
          <w:rFonts w:hint="eastAsia"/>
        </w:rPr>
        <w:t>深入贯彻“监管为民、为民监管”理念，着力优化完善市场监管协调联动机制，密切部门协同，强化上下联动，确保“十四五”市场监管各项目标如期实现。</w:t>
      </w:r>
    </w:p>
    <w:p>
      <w:pPr>
        <w:ind w:firstLine="632"/>
        <w:outlineLvl w:val="1"/>
        <w:rPr>
          <w:rFonts w:ascii="黑体" w:hAnsi="黑体" w:eastAsia="黑体"/>
        </w:rPr>
      </w:pPr>
      <w:r>
        <w:rPr>
          <w:rFonts w:hint="eastAsia" w:ascii="黑体" w:hAnsi="黑体" w:eastAsia="黑体"/>
        </w:rPr>
        <w:t>二、统筹规划实施</w:t>
      </w:r>
    </w:p>
    <w:p>
      <w:pPr>
        <w:ind w:firstLine="632"/>
      </w:pPr>
      <w:r>
        <w:rPr>
          <w:rFonts w:hint="eastAsia"/>
        </w:rPr>
        <w:t>全市市场监管部门要强化责任意识，围绕规划确定的目标任务，明确时间表和路线图，制定年度计划，有力有序推进规划实施</w:t>
      </w:r>
      <w:r>
        <w:rPr>
          <w:rFonts w:hint="eastAsia" w:ascii="仿宋_GB2312"/>
        </w:rPr>
        <w:t>。</w:t>
      </w:r>
      <w:r>
        <w:rPr>
          <w:rFonts w:hint="eastAsia"/>
        </w:rPr>
        <w:t>各级市场监管部门要按照职责分工，在市场监管部门内部与相关部门之间做好任务分解，进一步细化落实措施，强化责任担当，科学有序推进</w:t>
      </w:r>
      <w:r>
        <w:rPr>
          <w:rFonts w:hint="eastAsia" w:ascii="仿宋_GB2312"/>
        </w:rPr>
        <w:t>。</w:t>
      </w:r>
      <w:r>
        <w:rPr>
          <w:rFonts w:hint="eastAsia"/>
        </w:rPr>
        <w:t>相关部门和行业协会要按照规划要求，积极主动作为，抓好本领域重点任务落实</w:t>
      </w:r>
      <w:r>
        <w:rPr>
          <w:rFonts w:hint="eastAsia" w:ascii="仿宋_GB2312"/>
        </w:rPr>
        <w:t>。</w:t>
      </w:r>
    </w:p>
    <w:p>
      <w:pPr>
        <w:ind w:firstLine="632"/>
        <w:outlineLvl w:val="1"/>
        <w:rPr>
          <w:rFonts w:ascii="黑体" w:hAnsi="黑体" w:eastAsia="黑体"/>
        </w:rPr>
      </w:pPr>
      <w:r>
        <w:rPr>
          <w:rFonts w:hint="eastAsia" w:ascii="黑体" w:hAnsi="黑体" w:eastAsia="黑体"/>
        </w:rPr>
        <w:t>三、强化督导考核</w:t>
      </w:r>
    </w:p>
    <w:p>
      <w:pPr>
        <w:ind w:firstLine="632"/>
        <w:rPr>
          <w:rFonts w:ascii="仿宋_GB2312"/>
        </w:rPr>
      </w:pPr>
      <w:r>
        <w:rPr>
          <w:rFonts w:hint="eastAsia"/>
        </w:rPr>
        <w:t>全市市场监管部门要在本规划指导下制定年度执行计划，组织开展规划实施年度监测评估，强化监测评估结果应用</w:t>
      </w:r>
      <w:r>
        <w:rPr>
          <w:rFonts w:hint="eastAsia" w:ascii="仿宋_GB2312"/>
        </w:rPr>
        <w:t>。</w:t>
      </w:r>
      <w:r>
        <w:rPr>
          <w:rFonts w:hint="eastAsia"/>
        </w:rPr>
        <w:t>认真开展中期评估和总结评估，按要求形成规划执行情况评估报告</w:t>
      </w:r>
      <w:r>
        <w:rPr>
          <w:rFonts w:hint="eastAsia" w:ascii="仿宋_GB2312"/>
        </w:rPr>
        <w:t>。</w:t>
      </w:r>
      <w:r>
        <w:rPr>
          <w:rFonts w:hint="eastAsia"/>
        </w:rPr>
        <w:t>要结合年度工作要求，将规划目标任务核心内容和关键指标纳入督查激励范畴</w:t>
      </w:r>
      <w:r>
        <w:rPr>
          <w:rFonts w:hint="eastAsia" w:ascii="仿宋_GB2312"/>
        </w:rPr>
        <w:t>。</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0" w:footer="1571"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楷体_GB2312">
    <w:altName w:val="方正楷体_GBK"/>
    <w:panose1 w:val="02010609030101010101"/>
    <w:charset w:val="86"/>
    <w:family w:val="modern"/>
    <w:pitch w:val="default"/>
    <w:sig w:usb0="00000000" w:usb1="00000000" w:usb2="00000000" w:usb3="00000000" w:csb0="00040000" w:csb1="00000000"/>
  </w:font>
  <w:font w:name="Futura Bk BT">
    <w:altName w:val="方正宋体S-超大字符集(SIP)"/>
    <w:panose1 w:val="00000000000000000000"/>
    <w:charset w:val="00"/>
    <w:family w:val="swiss"/>
    <w:pitch w:val="default"/>
    <w:sig w:usb0="00000000" w:usb1="00000000" w:usb2="00000000" w:usb3="00000000" w:csb0="0000001B"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amp;quot">
    <w:altName w:val="文泉驿微米黑"/>
    <w:panose1 w:val="00000000000000000000"/>
    <w:charset w:val="00"/>
    <w:family w:val="roman"/>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20" w:rightChars="100" w:firstLine="560" w:firstLineChars="0"/>
      <w:jc w:val="right"/>
      <w:rPr>
        <w:sz w:val="28"/>
      </w:rPr>
    </w:pPr>
    <w:r>
      <w:rPr>
        <w:rFonts w:hint="eastAsia"/>
        <w:sz w:val="28"/>
      </w:rPr>
      <w:t xml:space="preserve">— </w:t>
    </w:r>
    <w:r>
      <w:rPr>
        <w:sz w:val="28"/>
      </w:rPr>
      <w:fldChar w:fldCharType="begin"/>
    </w:r>
    <w:r>
      <w:rPr>
        <w:sz w:val="28"/>
      </w:rPr>
      <w:instrText xml:space="preserve"> Page \ * MergeFormat </w:instrText>
    </w:r>
    <w:r>
      <w:rPr>
        <w:sz w:val="28"/>
      </w:rPr>
      <w:fldChar w:fldCharType="separate"/>
    </w:r>
    <w:r>
      <w:rPr>
        <w:sz w:val="28"/>
      </w:rPr>
      <w:t>2</w:t>
    </w:r>
    <w:r>
      <w:rPr>
        <w:sz w:val="28"/>
      </w:rPr>
      <w:fldChar w:fldCharType="end"/>
    </w:r>
    <w:r>
      <w:rPr>
        <w:sz w:val="28"/>
      </w:rPr>
      <w:t xml:space="preserve"> </w:t>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firstLine="0" w:firstLineChars="0"/>
    </w:pPr>
    <w:r>
      <w:rPr>
        <w:rFonts w:hint="eastAsia"/>
        <w:sz w:val="28"/>
      </w:rPr>
      <w:t xml:space="preserve">— </w:t>
    </w:r>
    <w:r>
      <w:rPr>
        <w:sz w:val="28"/>
      </w:rPr>
      <w:fldChar w:fldCharType="begin"/>
    </w:r>
    <w:r>
      <w:rPr>
        <w:sz w:val="28"/>
      </w:rPr>
      <w:instrText xml:space="preserve"> Page \ * MergeFormat </w:instrText>
    </w:r>
    <w:r>
      <w:rPr>
        <w:sz w:val="28"/>
      </w:rPr>
      <w:fldChar w:fldCharType="separate"/>
    </w:r>
    <w:r>
      <w:rPr>
        <w:sz w:val="28"/>
      </w:rPr>
      <w:t>3</w:t>
    </w:r>
    <w:r>
      <w:rPr>
        <w:sz w:val="28"/>
      </w:rPr>
      <w:fldChar w:fldCharType="end"/>
    </w:r>
    <w:r>
      <w:rPr>
        <w:sz w:val="28"/>
      </w:rPr>
      <w:t xml:space="preserve"> </w:t>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B6E94"/>
    <w:multiLevelType w:val="multilevel"/>
    <w:tmpl w:val="0FDB6E94"/>
    <w:lvl w:ilvl="0" w:tentative="0">
      <w:start w:val="1"/>
      <w:numFmt w:val="koreanDigital2"/>
      <w:pStyle w:val="26"/>
      <w:lvlText w:val="（%1）"/>
      <w:lvlJc w:val="left"/>
      <w:pPr>
        <w:ind w:left="420" w:hanging="420"/>
      </w:pPr>
    </w:lvl>
    <w:lvl w:ilvl="1" w:tentative="0">
      <w:start w:val="1"/>
      <w:numFmt w:val="lowerLetter"/>
      <w:lvlText w:val="%2)"/>
      <w:lvlJc w:val="left"/>
      <w:pPr>
        <w:ind w:left="988" w:hanging="420"/>
      </w:pPr>
    </w:lvl>
    <w:lvl w:ilvl="2" w:tentative="0">
      <w:start w:val="1"/>
      <w:numFmt w:val="lowerRoman"/>
      <w:lvlText w:val="%3."/>
      <w:lvlJc w:val="right"/>
      <w:pPr>
        <w:ind w:left="1408" w:hanging="420"/>
      </w:pPr>
    </w:lvl>
    <w:lvl w:ilvl="3" w:tentative="0">
      <w:start w:val="1"/>
      <w:numFmt w:val="decimal"/>
      <w:lvlText w:val="%4."/>
      <w:lvlJc w:val="left"/>
      <w:pPr>
        <w:ind w:left="1828" w:hanging="420"/>
      </w:pPr>
    </w:lvl>
    <w:lvl w:ilvl="4" w:tentative="0">
      <w:start w:val="1"/>
      <w:numFmt w:val="lowerLetter"/>
      <w:lvlText w:val="%5)"/>
      <w:lvlJc w:val="left"/>
      <w:pPr>
        <w:ind w:left="2248" w:hanging="420"/>
      </w:pPr>
    </w:lvl>
    <w:lvl w:ilvl="5" w:tentative="0">
      <w:start w:val="1"/>
      <w:numFmt w:val="lowerRoman"/>
      <w:lvlText w:val="%6."/>
      <w:lvlJc w:val="right"/>
      <w:pPr>
        <w:ind w:left="2668" w:hanging="420"/>
      </w:pPr>
    </w:lvl>
    <w:lvl w:ilvl="6" w:tentative="0">
      <w:start w:val="1"/>
      <w:numFmt w:val="decimal"/>
      <w:lvlText w:val="%7."/>
      <w:lvlJc w:val="left"/>
      <w:pPr>
        <w:ind w:left="3088" w:hanging="420"/>
      </w:pPr>
    </w:lvl>
    <w:lvl w:ilvl="7" w:tentative="0">
      <w:start w:val="1"/>
      <w:numFmt w:val="lowerLetter"/>
      <w:lvlText w:val="%8)"/>
      <w:lvlJc w:val="left"/>
      <w:pPr>
        <w:ind w:left="3508" w:hanging="420"/>
      </w:pPr>
    </w:lvl>
    <w:lvl w:ilvl="8" w:tentative="0">
      <w:start w:val="1"/>
      <w:numFmt w:val="lowerRoman"/>
      <w:lvlText w:val="%9."/>
      <w:lvlJc w:val="right"/>
      <w:pPr>
        <w:ind w:left="3928" w:hanging="420"/>
      </w:pPr>
    </w:lvl>
  </w:abstractNum>
  <w:abstractNum w:abstractNumId="1">
    <w:nsid w:val="74E96A53"/>
    <w:multiLevelType w:val="multilevel"/>
    <w:tmpl w:val="74E96A53"/>
    <w:lvl w:ilvl="0" w:tentative="0">
      <w:start w:val="1"/>
      <w:numFmt w:val="decimal"/>
      <w:pStyle w:val="22"/>
      <w:suff w:val="nothing"/>
      <w:lvlText w:val="%1."/>
      <w:lvlJc w:val="center"/>
      <w:pPr>
        <w:ind w:left="3595" w:firstLine="800"/>
      </w:pPr>
      <w:rPr>
        <w:rFonts w:hint="eastAsia"/>
      </w:rPr>
    </w:lvl>
    <w:lvl w:ilvl="1" w:tentative="0">
      <w:start w:val="1"/>
      <w:numFmt w:val="lowerLetter"/>
      <w:lvlText w:val="%2)"/>
      <w:lvlJc w:val="left"/>
      <w:pPr>
        <w:ind w:left="1472" w:hanging="420"/>
      </w:p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abstractNum w:abstractNumId="2">
    <w:nsid w:val="78E12D84"/>
    <w:multiLevelType w:val="multilevel"/>
    <w:tmpl w:val="78E12D84"/>
    <w:lvl w:ilvl="0" w:tentative="0">
      <w:start w:val="1"/>
      <w:numFmt w:val="koreanDigital2"/>
      <w:pStyle w:val="29"/>
      <w:suff w:val="nothing"/>
      <w:lvlText w:val="（%1）"/>
      <w:lvlJc w:val="left"/>
      <w:pPr>
        <w:ind w:left="0" w:firstLine="400"/>
      </w:pPr>
      <w:rPr>
        <w:rFonts w:hint="eastAsia"/>
      </w:rPr>
    </w:lvl>
    <w:lvl w:ilvl="1" w:tentative="0">
      <w:start w:val="1"/>
      <w:numFmt w:val="lowerLetter"/>
      <w:lvlText w:val="%2)"/>
      <w:lvlJc w:val="left"/>
      <w:pPr>
        <w:ind w:left="1472" w:hanging="420"/>
      </w:p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abstractNum w:abstractNumId="3">
    <w:nsid w:val="7A0B3F24"/>
    <w:multiLevelType w:val="multilevel"/>
    <w:tmpl w:val="7A0B3F24"/>
    <w:lvl w:ilvl="0" w:tentative="0">
      <w:start w:val="1"/>
      <w:numFmt w:val="koreanDigital2"/>
      <w:lvlText w:val="%1、"/>
      <w:lvlJc w:val="center"/>
      <w:pPr>
        <w:ind w:left="1052" w:hanging="420"/>
      </w:pPr>
      <w:rPr>
        <w:rFonts w:hint="default" w:ascii="Times New Roman" w:hAnsi="Times New Roman" w:eastAsia="黑体"/>
        <w:b w:val="0"/>
        <w:i w:val="0"/>
        <w:sz w:val="32"/>
      </w:rPr>
    </w:lvl>
    <w:lvl w:ilvl="1" w:tentative="0">
      <w:start w:val="1"/>
      <w:numFmt w:val="koreanDigital2"/>
      <w:pStyle w:val="23"/>
      <w:suff w:val="nothing"/>
      <w:lvlText w:val="%2、"/>
      <w:lvlJc w:val="left"/>
      <w:pPr>
        <w:ind w:left="51" w:firstLine="800"/>
      </w:pPr>
      <w:rPr>
        <w:rFonts w:hint="default" w:ascii="Times New Roman" w:hAnsi="Times New Roman" w:eastAsia="黑体"/>
        <w:b w:val="0"/>
        <w:i w:val="0"/>
        <w:sz w:val="32"/>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true"/>
  <w:bordersDoNotSurroundHeader w:val="true"/>
  <w:bordersDoNotSurroundFooter w:val="true"/>
  <w:documentProtection w:edit="readOnly" w:formatting="1" w:enforcement="0"/>
  <w:defaultTabStop w:val="420"/>
  <w:evenAndOddHeaders w:val="true"/>
  <w:drawingGridHorizontalSpacing w:val="316"/>
  <w:drawingGridVerticalSpacing w:val="579"/>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1ODIyMzkzYzBiYWQzNmIzOGY4MDVlOGFkMmE4OGMifQ=="/>
    <w:docVar w:name="KGWebUrl" w:val="http://59.197.224.47:80/seeyon/officeservlet"/>
  </w:docVars>
  <w:rsids>
    <w:rsidRoot w:val="00AC2F3C"/>
    <w:rsid w:val="0000018A"/>
    <w:rsid w:val="000005D6"/>
    <w:rsid w:val="0000093A"/>
    <w:rsid w:val="00000B71"/>
    <w:rsid w:val="00001BA7"/>
    <w:rsid w:val="00002706"/>
    <w:rsid w:val="0000294E"/>
    <w:rsid w:val="00004A46"/>
    <w:rsid w:val="00004C64"/>
    <w:rsid w:val="00004F27"/>
    <w:rsid w:val="00005C72"/>
    <w:rsid w:val="00005F12"/>
    <w:rsid w:val="000060D7"/>
    <w:rsid w:val="000063CE"/>
    <w:rsid w:val="0000650F"/>
    <w:rsid w:val="000065A4"/>
    <w:rsid w:val="00006846"/>
    <w:rsid w:val="00006D29"/>
    <w:rsid w:val="00007370"/>
    <w:rsid w:val="00007D10"/>
    <w:rsid w:val="000101B3"/>
    <w:rsid w:val="000102FF"/>
    <w:rsid w:val="00010391"/>
    <w:rsid w:val="0001048D"/>
    <w:rsid w:val="00010539"/>
    <w:rsid w:val="0001097D"/>
    <w:rsid w:val="00010A9C"/>
    <w:rsid w:val="00010FD8"/>
    <w:rsid w:val="00011224"/>
    <w:rsid w:val="00011FBF"/>
    <w:rsid w:val="00012A21"/>
    <w:rsid w:val="00013375"/>
    <w:rsid w:val="00013A36"/>
    <w:rsid w:val="0001533A"/>
    <w:rsid w:val="000153A2"/>
    <w:rsid w:val="00015B3D"/>
    <w:rsid w:val="00015B9B"/>
    <w:rsid w:val="00015E96"/>
    <w:rsid w:val="00016455"/>
    <w:rsid w:val="00016789"/>
    <w:rsid w:val="000175F8"/>
    <w:rsid w:val="00017ADB"/>
    <w:rsid w:val="000200F2"/>
    <w:rsid w:val="000203D1"/>
    <w:rsid w:val="00020AC1"/>
    <w:rsid w:val="00021984"/>
    <w:rsid w:val="00021A6E"/>
    <w:rsid w:val="00022653"/>
    <w:rsid w:val="000240E7"/>
    <w:rsid w:val="0002443D"/>
    <w:rsid w:val="0002507C"/>
    <w:rsid w:val="00026F91"/>
    <w:rsid w:val="0002737B"/>
    <w:rsid w:val="00030395"/>
    <w:rsid w:val="00030710"/>
    <w:rsid w:val="0003081C"/>
    <w:rsid w:val="00030A27"/>
    <w:rsid w:val="00030AE8"/>
    <w:rsid w:val="00030C56"/>
    <w:rsid w:val="00031BC4"/>
    <w:rsid w:val="00032120"/>
    <w:rsid w:val="00032359"/>
    <w:rsid w:val="000325C7"/>
    <w:rsid w:val="00032827"/>
    <w:rsid w:val="00033A0A"/>
    <w:rsid w:val="00033C64"/>
    <w:rsid w:val="00034321"/>
    <w:rsid w:val="00034B65"/>
    <w:rsid w:val="00034F64"/>
    <w:rsid w:val="000354E4"/>
    <w:rsid w:val="0003584B"/>
    <w:rsid w:val="00035E29"/>
    <w:rsid w:val="000360DC"/>
    <w:rsid w:val="00036AEF"/>
    <w:rsid w:val="00036C3D"/>
    <w:rsid w:val="00036D1B"/>
    <w:rsid w:val="00036D2B"/>
    <w:rsid w:val="0003714A"/>
    <w:rsid w:val="00037B1D"/>
    <w:rsid w:val="00037D4B"/>
    <w:rsid w:val="000409C4"/>
    <w:rsid w:val="00040BAD"/>
    <w:rsid w:val="00040BE1"/>
    <w:rsid w:val="0004125B"/>
    <w:rsid w:val="0004136E"/>
    <w:rsid w:val="000417A4"/>
    <w:rsid w:val="00041963"/>
    <w:rsid w:val="00041F7E"/>
    <w:rsid w:val="000424DF"/>
    <w:rsid w:val="000429C4"/>
    <w:rsid w:val="00042C1D"/>
    <w:rsid w:val="00042C5E"/>
    <w:rsid w:val="00042E49"/>
    <w:rsid w:val="00043D79"/>
    <w:rsid w:val="00043D8C"/>
    <w:rsid w:val="00044362"/>
    <w:rsid w:val="00046543"/>
    <w:rsid w:val="0004669C"/>
    <w:rsid w:val="000472E9"/>
    <w:rsid w:val="000504C9"/>
    <w:rsid w:val="000517E7"/>
    <w:rsid w:val="00051CD5"/>
    <w:rsid w:val="00052ED3"/>
    <w:rsid w:val="00053B38"/>
    <w:rsid w:val="00053B45"/>
    <w:rsid w:val="00054AB0"/>
    <w:rsid w:val="00055044"/>
    <w:rsid w:val="0005517B"/>
    <w:rsid w:val="00055794"/>
    <w:rsid w:val="00055940"/>
    <w:rsid w:val="0005596E"/>
    <w:rsid w:val="00055A22"/>
    <w:rsid w:val="00055D7F"/>
    <w:rsid w:val="0005648E"/>
    <w:rsid w:val="00056665"/>
    <w:rsid w:val="00056B2E"/>
    <w:rsid w:val="00056DD0"/>
    <w:rsid w:val="00056DEB"/>
    <w:rsid w:val="00057EF7"/>
    <w:rsid w:val="00060309"/>
    <w:rsid w:val="00062378"/>
    <w:rsid w:val="000624C7"/>
    <w:rsid w:val="000626DF"/>
    <w:rsid w:val="0006339C"/>
    <w:rsid w:val="00063CE0"/>
    <w:rsid w:val="00064848"/>
    <w:rsid w:val="00064881"/>
    <w:rsid w:val="00065036"/>
    <w:rsid w:val="00066046"/>
    <w:rsid w:val="00066AA9"/>
    <w:rsid w:val="0006702B"/>
    <w:rsid w:val="000670CC"/>
    <w:rsid w:val="0006723A"/>
    <w:rsid w:val="00067766"/>
    <w:rsid w:val="000678A0"/>
    <w:rsid w:val="000678D9"/>
    <w:rsid w:val="00067D98"/>
    <w:rsid w:val="00070807"/>
    <w:rsid w:val="00071608"/>
    <w:rsid w:val="000719C5"/>
    <w:rsid w:val="00071A63"/>
    <w:rsid w:val="00071A74"/>
    <w:rsid w:val="00071B33"/>
    <w:rsid w:val="00071CC2"/>
    <w:rsid w:val="00071DC6"/>
    <w:rsid w:val="00071DE8"/>
    <w:rsid w:val="00072104"/>
    <w:rsid w:val="0007215C"/>
    <w:rsid w:val="00072DBC"/>
    <w:rsid w:val="00072EDA"/>
    <w:rsid w:val="00072FF9"/>
    <w:rsid w:val="00073BF9"/>
    <w:rsid w:val="00073F33"/>
    <w:rsid w:val="00074198"/>
    <w:rsid w:val="0007420D"/>
    <w:rsid w:val="00074FAC"/>
    <w:rsid w:val="0007531A"/>
    <w:rsid w:val="00075586"/>
    <w:rsid w:val="000764C5"/>
    <w:rsid w:val="000770D1"/>
    <w:rsid w:val="0007768E"/>
    <w:rsid w:val="00077816"/>
    <w:rsid w:val="00077988"/>
    <w:rsid w:val="0008023C"/>
    <w:rsid w:val="0008084E"/>
    <w:rsid w:val="00080A1F"/>
    <w:rsid w:val="000814F1"/>
    <w:rsid w:val="00081DC9"/>
    <w:rsid w:val="00082696"/>
    <w:rsid w:val="00082E5E"/>
    <w:rsid w:val="00082E8A"/>
    <w:rsid w:val="000831E5"/>
    <w:rsid w:val="000833B9"/>
    <w:rsid w:val="0008342D"/>
    <w:rsid w:val="000839A9"/>
    <w:rsid w:val="000847E3"/>
    <w:rsid w:val="00084CB8"/>
    <w:rsid w:val="00086C46"/>
    <w:rsid w:val="000874B3"/>
    <w:rsid w:val="00087684"/>
    <w:rsid w:val="00087D3C"/>
    <w:rsid w:val="00087F78"/>
    <w:rsid w:val="000905A2"/>
    <w:rsid w:val="00091E56"/>
    <w:rsid w:val="00091F15"/>
    <w:rsid w:val="0009217F"/>
    <w:rsid w:val="000927C7"/>
    <w:rsid w:val="0009280A"/>
    <w:rsid w:val="00093A06"/>
    <w:rsid w:val="00093CD0"/>
    <w:rsid w:val="00094963"/>
    <w:rsid w:val="0009507C"/>
    <w:rsid w:val="00095DC4"/>
    <w:rsid w:val="000961BA"/>
    <w:rsid w:val="00096818"/>
    <w:rsid w:val="00097CE0"/>
    <w:rsid w:val="000A0730"/>
    <w:rsid w:val="000A0896"/>
    <w:rsid w:val="000A0FD7"/>
    <w:rsid w:val="000A1F93"/>
    <w:rsid w:val="000A215E"/>
    <w:rsid w:val="000A3357"/>
    <w:rsid w:val="000A5261"/>
    <w:rsid w:val="000A526B"/>
    <w:rsid w:val="000A61E2"/>
    <w:rsid w:val="000A6988"/>
    <w:rsid w:val="000A6DB7"/>
    <w:rsid w:val="000A6E69"/>
    <w:rsid w:val="000A719F"/>
    <w:rsid w:val="000B04C0"/>
    <w:rsid w:val="000B0C15"/>
    <w:rsid w:val="000B0ECB"/>
    <w:rsid w:val="000B14AB"/>
    <w:rsid w:val="000B2238"/>
    <w:rsid w:val="000B2792"/>
    <w:rsid w:val="000B2EA8"/>
    <w:rsid w:val="000B2F7B"/>
    <w:rsid w:val="000B319D"/>
    <w:rsid w:val="000B4A81"/>
    <w:rsid w:val="000B5DDC"/>
    <w:rsid w:val="000B60B8"/>
    <w:rsid w:val="000B67C6"/>
    <w:rsid w:val="000B6B12"/>
    <w:rsid w:val="000C0B1E"/>
    <w:rsid w:val="000C0FB1"/>
    <w:rsid w:val="000C14F6"/>
    <w:rsid w:val="000C22BA"/>
    <w:rsid w:val="000C2F39"/>
    <w:rsid w:val="000C30BE"/>
    <w:rsid w:val="000C38B4"/>
    <w:rsid w:val="000C3CC2"/>
    <w:rsid w:val="000C4578"/>
    <w:rsid w:val="000C47EF"/>
    <w:rsid w:val="000C56F0"/>
    <w:rsid w:val="000C5E3C"/>
    <w:rsid w:val="000C6A3F"/>
    <w:rsid w:val="000C6ACE"/>
    <w:rsid w:val="000C6DE0"/>
    <w:rsid w:val="000C6FF1"/>
    <w:rsid w:val="000C75A5"/>
    <w:rsid w:val="000C7E0E"/>
    <w:rsid w:val="000D0A33"/>
    <w:rsid w:val="000D344C"/>
    <w:rsid w:val="000D362F"/>
    <w:rsid w:val="000D3E87"/>
    <w:rsid w:val="000D4A3C"/>
    <w:rsid w:val="000D4EC5"/>
    <w:rsid w:val="000D5013"/>
    <w:rsid w:val="000D569D"/>
    <w:rsid w:val="000D70B0"/>
    <w:rsid w:val="000E0E92"/>
    <w:rsid w:val="000E0E9C"/>
    <w:rsid w:val="000E111A"/>
    <w:rsid w:val="000E12DA"/>
    <w:rsid w:val="000E254A"/>
    <w:rsid w:val="000E41F0"/>
    <w:rsid w:val="000E4588"/>
    <w:rsid w:val="000E4E0F"/>
    <w:rsid w:val="000E53B2"/>
    <w:rsid w:val="000E55FF"/>
    <w:rsid w:val="000E5DEA"/>
    <w:rsid w:val="000E65BF"/>
    <w:rsid w:val="000E6E2E"/>
    <w:rsid w:val="000E6FEE"/>
    <w:rsid w:val="000E7193"/>
    <w:rsid w:val="000E7425"/>
    <w:rsid w:val="000E7BAD"/>
    <w:rsid w:val="000E7DD1"/>
    <w:rsid w:val="000E7ED9"/>
    <w:rsid w:val="000F01B3"/>
    <w:rsid w:val="000F0835"/>
    <w:rsid w:val="000F0958"/>
    <w:rsid w:val="000F0EFD"/>
    <w:rsid w:val="000F2013"/>
    <w:rsid w:val="000F2C3E"/>
    <w:rsid w:val="000F468C"/>
    <w:rsid w:val="000F51E3"/>
    <w:rsid w:val="000F611E"/>
    <w:rsid w:val="000F622F"/>
    <w:rsid w:val="000F7561"/>
    <w:rsid w:val="000F77F8"/>
    <w:rsid w:val="000F7B43"/>
    <w:rsid w:val="00100322"/>
    <w:rsid w:val="00100704"/>
    <w:rsid w:val="001008AA"/>
    <w:rsid w:val="00100A4C"/>
    <w:rsid w:val="00100E52"/>
    <w:rsid w:val="00101744"/>
    <w:rsid w:val="00101C29"/>
    <w:rsid w:val="00102360"/>
    <w:rsid w:val="001025D3"/>
    <w:rsid w:val="00102D2F"/>
    <w:rsid w:val="00102D5D"/>
    <w:rsid w:val="00104346"/>
    <w:rsid w:val="001045F8"/>
    <w:rsid w:val="00104676"/>
    <w:rsid w:val="0010484B"/>
    <w:rsid w:val="00104FFE"/>
    <w:rsid w:val="001050F9"/>
    <w:rsid w:val="0010548B"/>
    <w:rsid w:val="00106038"/>
    <w:rsid w:val="0010631B"/>
    <w:rsid w:val="00106D4C"/>
    <w:rsid w:val="00107144"/>
    <w:rsid w:val="00107943"/>
    <w:rsid w:val="001079D1"/>
    <w:rsid w:val="00107A09"/>
    <w:rsid w:val="00107F21"/>
    <w:rsid w:val="0011024E"/>
    <w:rsid w:val="001115BA"/>
    <w:rsid w:val="001119E3"/>
    <w:rsid w:val="00112FCF"/>
    <w:rsid w:val="0011316A"/>
    <w:rsid w:val="00113799"/>
    <w:rsid w:val="0011464C"/>
    <w:rsid w:val="0011589B"/>
    <w:rsid w:val="00115A8A"/>
    <w:rsid w:val="00115CC2"/>
    <w:rsid w:val="00116880"/>
    <w:rsid w:val="00116A61"/>
    <w:rsid w:val="001174A5"/>
    <w:rsid w:val="001177AE"/>
    <w:rsid w:val="00117BF3"/>
    <w:rsid w:val="00120290"/>
    <w:rsid w:val="0012095E"/>
    <w:rsid w:val="001217F6"/>
    <w:rsid w:val="00122F8A"/>
    <w:rsid w:val="001236EB"/>
    <w:rsid w:val="00123947"/>
    <w:rsid w:val="00123A77"/>
    <w:rsid w:val="00123D4D"/>
    <w:rsid w:val="00123DAD"/>
    <w:rsid w:val="00124481"/>
    <w:rsid w:val="0012489E"/>
    <w:rsid w:val="001250BD"/>
    <w:rsid w:val="00125207"/>
    <w:rsid w:val="00125763"/>
    <w:rsid w:val="0012738D"/>
    <w:rsid w:val="00127878"/>
    <w:rsid w:val="001278AF"/>
    <w:rsid w:val="00130E52"/>
    <w:rsid w:val="00132196"/>
    <w:rsid w:val="00132442"/>
    <w:rsid w:val="00133247"/>
    <w:rsid w:val="00133809"/>
    <w:rsid w:val="00134009"/>
    <w:rsid w:val="001348F6"/>
    <w:rsid w:val="00134B66"/>
    <w:rsid w:val="0013513B"/>
    <w:rsid w:val="00135799"/>
    <w:rsid w:val="00135946"/>
    <w:rsid w:val="00135D86"/>
    <w:rsid w:val="00136200"/>
    <w:rsid w:val="00136D04"/>
    <w:rsid w:val="00137C64"/>
    <w:rsid w:val="00140200"/>
    <w:rsid w:val="00140B32"/>
    <w:rsid w:val="0014136A"/>
    <w:rsid w:val="00141D16"/>
    <w:rsid w:val="00143FA6"/>
    <w:rsid w:val="00144993"/>
    <w:rsid w:val="00144EB4"/>
    <w:rsid w:val="001463E5"/>
    <w:rsid w:val="00146C2D"/>
    <w:rsid w:val="0014711F"/>
    <w:rsid w:val="00147954"/>
    <w:rsid w:val="00147BD2"/>
    <w:rsid w:val="0015013C"/>
    <w:rsid w:val="00150C40"/>
    <w:rsid w:val="00150DD8"/>
    <w:rsid w:val="00150F3B"/>
    <w:rsid w:val="00151407"/>
    <w:rsid w:val="001514B0"/>
    <w:rsid w:val="001517CD"/>
    <w:rsid w:val="00151B67"/>
    <w:rsid w:val="00151D58"/>
    <w:rsid w:val="00152290"/>
    <w:rsid w:val="00152535"/>
    <w:rsid w:val="00153715"/>
    <w:rsid w:val="00153A4E"/>
    <w:rsid w:val="00153DF2"/>
    <w:rsid w:val="00154141"/>
    <w:rsid w:val="00154408"/>
    <w:rsid w:val="0015442A"/>
    <w:rsid w:val="00154AC6"/>
    <w:rsid w:val="00154D5A"/>
    <w:rsid w:val="0015512F"/>
    <w:rsid w:val="00155691"/>
    <w:rsid w:val="001557E4"/>
    <w:rsid w:val="00155F17"/>
    <w:rsid w:val="00156108"/>
    <w:rsid w:val="00157479"/>
    <w:rsid w:val="00157836"/>
    <w:rsid w:val="001601BB"/>
    <w:rsid w:val="001605E2"/>
    <w:rsid w:val="001606EF"/>
    <w:rsid w:val="0016150A"/>
    <w:rsid w:val="00161F24"/>
    <w:rsid w:val="00162431"/>
    <w:rsid w:val="00163982"/>
    <w:rsid w:val="00163D0B"/>
    <w:rsid w:val="00163D23"/>
    <w:rsid w:val="00164056"/>
    <w:rsid w:val="001641D7"/>
    <w:rsid w:val="00164C66"/>
    <w:rsid w:val="00164DA4"/>
    <w:rsid w:val="001651F0"/>
    <w:rsid w:val="00165418"/>
    <w:rsid w:val="0016551A"/>
    <w:rsid w:val="00165806"/>
    <w:rsid w:val="00165FAB"/>
    <w:rsid w:val="00166290"/>
    <w:rsid w:val="001665AD"/>
    <w:rsid w:val="001669C1"/>
    <w:rsid w:val="0016737F"/>
    <w:rsid w:val="001673F3"/>
    <w:rsid w:val="00167EDA"/>
    <w:rsid w:val="00170B3A"/>
    <w:rsid w:val="001715F1"/>
    <w:rsid w:val="00171600"/>
    <w:rsid w:val="00171BE1"/>
    <w:rsid w:val="001721A7"/>
    <w:rsid w:val="00172A89"/>
    <w:rsid w:val="00172F75"/>
    <w:rsid w:val="00172FEB"/>
    <w:rsid w:val="001734D7"/>
    <w:rsid w:val="00173543"/>
    <w:rsid w:val="001738B9"/>
    <w:rsid w:val="00173DA9"/>
    <w:rsid w:val="00173E77"/>
    <w:rsid w:val="0017444A"/>
    <w:rsid w:val="00174A3E"/>
    <w:rsid w:val="00176432"/>
    <w:rsid w:val="00176F62"/>
    <w:rsid w:val="00180623"/>
    <w:rsid w:val="00181392"/>
    <w:rsid w:val="001814FA"/>
    <w:rsid w:val="001815DF"/>
    <w:rsid w:val="001820DA"/>
    <w:rsid w:val="001837DF"/>
    <w:rsid w:val="00184BED"/>
    <w:rsid w:val="00184C92"/>
    <w:rsid w:val="00185450"/>
    <w:rsid w:val="00186962"/>
    <w:rsid w:val="00186F12"/>
    <w:rsid w:val="001874F0"/>
    <w:rsid w:val="0018768C"/>
    <w:rsid w:val="00187EC5"/>
    <w:rsid w:val="00187ED9"/>
    <w:rsid w:val="0019004A"/>
    <w:rsid w:val="0019059D"/>
    <w:rsid w:val="00190A13"/>
    <w:rsid w:val="00191A48"/>
    <w:rsid w:val="00191B25"/>
    <w:rsid w:val="00191E92"/>
    <w:rsid w:val="00191F4E"/>
    <w:rsid w:val="00192B4D"/>
    <w:rsid w:val="00192BA3"/>
    <w:rsid w:val="0019382D"/>
    <w:rsid w:val="001944A3"/>
    <w:rsid w:val="001945B4"/>
    <w:rsid w:val="00194800"/>
    <w:rsid w:val="00194FC2"/>
    <w:rsid w:val="0019514C"/>
    <w:rsid w:val="00195529"/>
    <w:rsid w:val="00196A23"/>
    <w:rsid w:val="00196EB7"/>
    <w:rsid w:val="00197171"/>
    <w:rsid w:val="001974D8"/>
    <w:rsid w:val="00197C61"/>
    <w:rsid w:val="00197CEB"/>
    <w:rsid w:val="00197E34"/>
    <w:rsid w:val="001A15A0"/>
    <w:rsid w:val="001A1D12"/>
    <w:rsid w:val="001A20A6"/>
    <w:rsid w:val="001A3290"/>
    <w:rsid w:val="001A389B"/>
    <w:rsid w:val="001A38A1"/>
    <w:rsid w:val="001A45A8"/>
    <w:rsid w:val="001A4A87"/>
    <w:rsid w:val="001A4E11"/>
    <w:rsid w:val="001A5392"/>
    <w:rsid w:val="001A5458"/>
    <w:rsid w:val="001A5600"/>
    <w:rsid w:val="001A5D5A"/>
    <w:rsid w:val="001A60EE"/>
    <w:rsid w:val="001A6FAC"/>
    <w:rsid w:val="001A70CA"/>
    <w:rsid w:val="001A7340"/>
    <w:rsid w:val="001A781E"/>
    <w:rsid w:val="001A7FC9"/>
    <w:rsid w:val="001B099A"/>
    <w:rsid w:val="001B0B1D"/>
    <w:rsid w:val="001B0BC3"/>
    <w:rsid w:val="001B0C09"/>
    <w:rsid w:val="001B1BE7"/>
    <w:rsid w:val="001B23D1"/>
    <w:rsid w:val="001B2792"/>
    <w:rsid w:val="001B45FA"/>
    <w:rsid w:val="001B48C2"/>
    <w:rsid w:val="001B5019"/>
    <w:rsid w:val="001B5D96"/>
    <w:rsid w:val="001B5FFC"/>
    <w:rsid w:val="001B68B1"/>
    <w:rsid w:val="001B6AD8"/>
    <w:rsid w:val="001B6C98"/>
    <w:rsid w:val="001B6D9E"/>
    <w:rsid w:val="001B6E10"/>
    <w:rsid w:val="001B7353"/>
    <w:rsid w:val="001B7681"/>
    <w:rsid w:val="001C20F0"/>
    <w:rsid w:val="001C3AAF"/>
    <w:rsid w:val="001C496A"/>
    <w:rsid w:val="001C519B"/>
    <w:rsid w:val="001C560D"/>
    <w:rsid w:val="001C58C2"/>
    <w:rsid w:val="001C6A1A"/>
    <w:rsid w:val="001C784E"/>
    <w:rsid w:val="001C7EDA"/>
    <w:rsid w:val="001D0025"/>
    <w:rsid w:val="001D046C"/>
    <w:rsid w:val="001D0DE2"/>
    <w:rsid w:val="001D1892"/>
    <w:rsid w:val="001D1938"/>
    <w:rsid w:val="001D23FC"/>
    <w:rsid w:val="001D26A3"/>
    <w:rsid w:val="001D3A8F"/>
    <w:rsid w:val="001D3D6E"/>
    <w:rsid w:val="001D45C0"/>
    <w:rsid w:val="001D47EF"/>
    <w:rsid w:val="001D5255"/>
    <w:rsid w:val="001D5FB5"/>
    <w:rsid w:val="001D62BC"/>
    <w:rsid w:val="001D7571"/>
    <w:rsid w:val="001D76F2"/>
    <w:rsid w:val="001E045A"/>
    <w:rsid w:val="001E070E"/>
    <w:rsid w:val="001E0886"/>
    <w:rsid w:val="001E1F2B"/>
    <w:rsid w:val="001E2013"/>
    <w:rsid w:val="001E31F3"/>
    <w:rsid w:val="001E36FA"/>
    <w:rsid w:val="001E3C1B"/>
    <w:rsid w:val="001E4891"/>
    <w:rsid w:val="001E495D"/>
    <w:rsid w:val="001E4BA7"/>
    <w:rsid w:val="001E4E21"/>
    <w:rsid w:val="001E60DF"/>
    <w:rsid w:val="001E65D4"/>
    <w:rsid w:val="001E6BCE"/>
    <w:rsid w:val="001E6FD2"/>
    <w:rsid w:val="001E7570"/>
    <w:rsid w:val="001E7768"/>
    <w:rsid w:val="001F0D07"/>
    <w:rsid w:val="001F14C4"/>
    <w:rsid w:val="001F152D"/>
    <w:rsid w:val="001F1784"/>
    <w:rsid w:val="001F189A"/>
    <w:rsid w:val="001F25CF"/>
    <w:rsid w:val="001F2A29"/>
    <w:rsid w:val="001F3A19"/>
    <w:rsid w:val="001F3D54"/>
    <w:rsid w:val="001F3E0D"/>
    <w:rsid w:val="001F51DB"/>
    <w:rsid w:val="001F5A64"/>
    <w:rsid w:val="001F5B17"/>
    <w:rsid w:val="001F61F9"/>
    <w:rsid w:val="001F6BBF"/>
    <w:rsid w:val="001F6D28"/>
    <w:rsid w:val="001F7630"/>
    <w:rsid w:val="001F7901"/>
    <w:rsid w:val="001F79B4"/>
    <w:rsid w:val="002005F4"/>
    <w:rsid w:val="002009B6"/>
    <w:rsid w:val="00201694"/>
    <w:rsid w:val="00201BF1"/>
    <w:rsid w:val="0020200F"/>
    <w:rsid w:val="0020256E"/>
    <w:rsid w:val="00202588"/>
    <w:rsid w:val="00202CB6"/>
    <w:rsid w:val="00203503"/>
    <w:rsid w:val="00203508"/>
    <w:rsid w:val="00203EE3"/>
    <w:rsid w:val="00204042"/>
    <w:rsid w:val="00204A93"/>
    <w:rsid w:val="00204B62"/>
    <w:rsid w:val="00205012"/>
    <w:rsid w:val="0020603D"/>
    <w:rsid w:val="00206BCD"/>
    <w:rsid w:val="00210179"/>
    <w:rsid w:val="002102F5"/>
    <w:rsid w:val="00210401"/>
    <w:rsid w:val="00210EA6"/>
    <w:rsid w:val="00210F03"/>
    <w:rsid w:val="00211112"/>
    <w:rsid w:val="00211D0A"/>
    <w:rsid w:val="00211E9F"/>
    <w:rsid w:val="002124D4"/>
    <w:rsid w:val="00212A14"/>
    <w:rsid w:val="00212F25"/>
    <w:rsid w:val="002130E7"/>
    <w:rsid w:val="002137E7"/>
    <w:rsid w:val="00213F2D"/>
    <w:rsid w:val="00213FB4"/>
    <w:rsid w:val="0021437E"/>
    <w:rsid w:val="00215A22"/>
    <w:rsid w:val="002164E5"/>
    <w:rsid w:val="00216528"/>
    <w:rsid w:val="002177F7"/>
    <w:rsid w:val="00217CEA"/>
    <w:rsid w:val="00220CBE"/>
    <w:rsid w:val="00220CD6"/>
    <w:rsid w:val="00221C7C"/>
    <w:rsid w:val="00221D43"/>
    <w:rsid w:val="00222180"/>
    <w:rsid w:val="00222212"/>
    <w:rsid w:val="002228AB"/>
    <w:rsid w:val="00222B39"/>
    <w:rsid w:val="00223479"/>
    <w:rsid w:val="002234FD"/>
    <w:rsid w:val="00223509"/>
    <w:rsid w:val="0022353C"/>
    <w:rsid w:val="00224657"/>
    <w:rsid w:val="002247F9"/>
    <w:rsid w:val="002249A5"/>
    <w:rsid w:val="00224BF2"/>
    <w:rsid w:val="00224C23"/>
    <w:rsid w:val="00225376"/>
    <w:rsid w:val="002253C7"/>
    <w:rsid w:val="00225C36"/>
    <w:rsid w:val="00225D1F"/>
    <w:rsid w:val="0022720A"/>
    <w:rsid w:val="00227386"/>
    <w:rsid w:val="0023066E"/>
    <w:rsid w:val="00230705"/>
    <w:rsid w:val="00231267"/>
    <w:rsid w:val="0023146C"/>
    <w:rsid w:val="00231B07"/>
    <w:rsid w:val="00232482"/>
    <w:rsid w:val="0023259E"/>
    <w:rsid w:val="0023365C"/>
    <w:rsid w:val="00233D0D"/>
    <w:rsid w:val="00233F33"/>
    <w:rsid w:val="00234163"/>
    <w:rsid w:val="00235077"/>
    <w:rsid w:val="00235352"/>
    <w:rsid w:val="00235CAE"/>
    <w:rsid w:val="002363CC"/>
    <w:rsid w:val="00236A0D"/>
    <w:rsid w:val="002402F8"/>
    <w:rsid w:val="00240457"/>
    <w:rsid w:val="002411E3"/>
    <w:rsid w:val="002430F8"/>
    <w:rsid w:val="00243B31"/>
    <w:rsid w:val="002443A3"/>
    <w:rsid w:val="002446E4"/>
    <w:rsid w:val="0024545C"/>
    <w:rsid w:val="0024697F"/>
    <w:rsid w:val="00246C90"/>
    <w:rsid w:val="00246F08"/>
    <w:rsid w:val="00247487"/>
    <w:rsid w:val="00247D95"/>
    <w:rsid w:val="00247DC1"/>
    <w:rsid w:val="002502FC"/>
    <w:rsid w:val="00250725"/>
    <w:rsid w:val="00250B34"/>
    <w:rsid w:val="00250B8B"/>
    <w:rsid w:val="00250DB2"/>
    <w:rsid w:val="0025180B"/>
    <w:rsid w:val="0025185C"/>
    <w:rsid w:val="002519F1"/>
    <w:rsid w:val="00251AA2"/>
    <w:rsid w:val="002520F1"/>
    <w:rsid w:val="0025326F"/>
    <w:rsid w:val="0025362E"/>
    <w:rsid w:val="00253727"/>
    <w:rsid w:val="00254C26"/>
    <w:rsid w:val="00254F66"/>
    <w:rsid w:val="00255825"/>
    <w:rsid w:val="002559C8"/>
    <w:rsid w:val="002569DB"/>
    <w:rsid w:val="00257085"/>
    <w:rsid w:val="00260558"/>
    <w:rsid w:val="00260994"/>
    <w:rsid w:val="002613C5"/>
    <w:rsid w:val="00261C72"/>
    <w:rsid w:val="00261D73"/>
    <w:rsid w:val="00262255"/>
    <w:rsid w:val="002623AB"/>
    <w:rsid w:val="00262626"/>
    <w:rsid w:val="0026304C"/>
    <w:rsid w:val="0026338E"/>
    <w:rsid w:val="00263BAE"/>
    <w:rsid w:val="00264FAD"/>
    <w:rsid w:val="00265050"/>
    <w:rsid w:val="0026534E"/>
    <w:rsid w:val="0026540D"/>
    <w:rsid w:val="002656E3"/>
    <w:rsid w:val="00265F99"/>
    <w:rsid w:val="00266110"/>
    <w:rsid w:val="0026631A"/>
    <w:rsid w:val="00266657"/>
    <w:rsid w:val="00266675"/>
    <w:rsid w:val="00266C5D"/>
    <w:rsid w:val="00266EAC"/>
    <w:rsid w:val="00270BB3"/>
    <w:rsid w:val="00270D91"/>
    <w:rsid w:val="00271451"/>
    <w:rsid w:val="00271C6A"/>
    <w:rsid w:val="00271F40"/>
    <w:rsid w:val="00272214"/>
    <w:rsid w:val="00272288"/>
    <w:rsid w:val="00273114"/>
    <w:rsid w:val="002732F1"/>
    <w:rsid w:val="00274212"/>
    <w:rsid w:val="002744DD"/>
    <w:rsid w:val="00275426"/>
    <w:rsid w:val="002756A6"/>
    <w:rsid w:val="00275781"/>
    <w:rsid w:val="002759EF"/>
    <w:rsid w:val="00275E11"/>
    <w:rsid w:val="00275FB9"/>
    <w:rsid w:val="002768C7"/>
    <w:rsid w:val="00277443"/>
    <w:rsid w:val="002778CA"/>
    <w:rsid w:val="00277F94"/>
    <w:rsid w:val="002805B9"/>
    <w:rsid w:val="00280E13"/>
    <w:rsid w:val="00282580"/>
    <w:rsid w:val="00283483"/>
    <w:rsid w:val="00283E79"/>
    <w:rsid w:val="0028495F"/>
    <w:rsid w:val="00284CDF"/>
    <w:rsid w:val="00284E0E"/>
    <w:rsid w:val="00285048"/>
    <w:rsid w:val="002851C0"/>
    <w:rsid w:val="002852F8"/>
    <w:rsid w:val="00285FF2"/>
    <w:rsid w:val="00286246"/>
    <w:rsid w:val="002863E8"/>
    <w:rsid w:val="00286733"/>
    <w:rsid w:val="00286E1B"/>
    <w:rsid w:val="002878AE"/>
    <w:rsid w:val="00287A01"/>
    <w:rsid w:val="002902C6"/>
    <w:rsid w:val="00291383"/>
    <w:rsid w:val="00291802"/>
    <w:rsid w:val="002919A6"/>
    <w:rsid w:val="00292022"/>
    <w:rsid w:val="00292366"/>
    <w:rsid w:val="00292FDC"/>
    <w:rsid w:val="00293548"/>
    <w:rsid w:val="00294B26"/>
    <w:rsid w:val="00294D49"/>
    <w:rsid w:val="00294E7B"/>
    <w:rsid w:val="00295629"/>
    <w:rsid w:val="00295664"/>
    <w:rsid w:val="0029598C"/>
    <w:rsid w:val="00296BE9"/>
    <w:rsid w:val="00297560"/>
    <w:rsid w:val="002A00C1"/>
    <w:rsid w:val="002A0395"/>
    <w:rsid w:val="002A090B"/>
    <w:rsid w:val="002A17B0"/>
    <w:rsid w:val="002A1ABA"/>
    <w:rsid w:val="002A2740"/>
    <w:rsid w:val="002A2D67"/>
    <w:rsid w:val="002A308A"/>
    <w:rsid w:val="002A376A"/>
    <w:rsid w:val="002A37EC"/>
    <w:rsid w:val="002A47BE"/>
    <w:rsid w:val="002A4902"/>
    <w:rsid w:val="002A5478"/>
    <w:rsid w:val="002A6335"/>
    <w:rsid w:val="002A72BD"/>
    <w:rsid w:val="002A744B"/>
    <w:rsid w:val="002A7558"/>
    <w:rsid w:val="002B174F"/>
    <w:rsid w:val="002B1918"/>
    <w:rsid w:val="002B2CC5"/>
    <w:rsid w:val="002B2D35"/>
    <w:rsid w:val="002B3683"/>
    <w:rsid w:val="002B3DCA"/>
    <w:rsid w:val="002B3E83"/>
    <w:rsid w:val="002B4996"/>
    <w:rsid w:val="002B4FB5"/>
    <w:rsid w:val="002B62A3"/>
    <w:rsid w:val="002B796F"/>
    <w:rsid w:val="002B7E4A"/>
    <w:rsid w:val="002C04F5"/>
    <w:rsid w:val="002C06F0"/>
    <w:rsid w:val="002C07D2"/>
    <w:rsid w:val="002C1C5A"/>
    <w:rsid w:val="002C2C4B"/>
    <w:rsid w:val="002C3194"/>
    <w:rsid w:val="002C3441"/>
    <w:rsid w:val="002C3449"/>
    <w:rsid w:val="002C3AB8"/>
    <w:rsid w:val="002C48DD"/>
    <w:rsid w:val="002C4A42"/>
    <w:rsid w:val="002C67C9"/>
    <w:rsid w:val="002C6AD9"/>
    <w:rsid w:val="002C6AE3"/>
    <w:rsid w:val="002C7B7D"/>
    <w:rsid w:val="002D0307"/>
    <w:rsid w:val="002D0688"/>
    <w:rsid w:val="002D0DD3"/>
    <w:rsid w:val="002D0FB0"/>
    <w:rsid w:val="002D12BF"/>
    <w:rsid w:val="002D162D"/>
    <w:rsid w:val="002D18F7"/>
    <w:rsid w:val="002D30C4"/>
    <w:rsid w:val="002D3996"/>
    <w:rsid w:val="002D433E"/>
    <w:rsid w:val="002D469F"/>
    <w:rsid w:val="002D4C50"/>
    <w:rsid w:val="002D5296"/>
    <w:rsid w:val="002D603C"/>
    <w:rsid w:val="002D6D4A"/>
    <w:rsid w:val="002D7012"/>
    <w:rsid w:val="002D7299"/>
    <w:rsid w:val="002E0ADB"/>
    <w:rsid w:val="002E0D3B"/>
    <w:rsid w:val="002E1022"/>
    <w:rsid w:val="002E11BE"/>
    <w:rsid w:val="002E178E"/>
    <w:rsid w:val="002E1887"/>
    <w:rsid w:val="002E1C21"/>
    <w:rsid w:val="002E269A"/>
    <w:rsid w:val="002E288C"/>
    <w:rsid w:val="002E2B3E"/>
    <w:rsid w:val="002E3A2F"/>
    <w:rsid w:val="002E438B"/>
    <w:rsid w:val="002E567A"/>
    <w:rsid w:val="002E5E81"/>
    <w:rsid w:val="002E6327"/>
    <w:rsid w:val="002E700B"/>
    <w:rsid w:val="002E7175"/>
    <w:rsid w:val="002E722D"/>
    <w:rsid w:val="002E79A6"/>
    <w:rsid w:val="002F0605"/>
    <w:rsid w:val="002F0DE9"/>
    <w:rsid w:val="002F0E59"/>
    <w:rsid w:val="002F14C9"/>
    <w:rsid w:val="002F170C"/>
    <w:rsid w:val="002F1929"/>
    <w:rsid w:val="002F1F29"/>
    <w:rsid w:val="002F2AAD"/>
    <w:rsid w:val="002F2DF5"/>
    <w:rsid w:val="002F2FFC"/>
    <w:rsid w:val="002F31DF"/>
    <w:rsid w:val="002F3602"/>
    <w:rsid w:val="002F3D84"/>
    <w:rsid w:val="002F3D94"/>
    <w:rsid w:val="002F3F87"/>
    <w:rsid w:val="002F4853"/>
    <w:rsid w:val="002F4AE6"/>
    <w:rsid w:val="002F5A3D"/>
    <w:rsid w:val="002F6D6B"/>
    <w:rsid w:val="002F71C6"/>
    <w:rsid w:val="0030012D"/>
    <w:rsid w:val="003005C7"/>
    <w:rsid w:val="00300739"/>
    <w:rsid w:val="00300AAE"/>
    <w:rsid w:val="00300C9C"/>
    <w:rsid w:val="00300D43"/>
    <w:rsid w:val="00301899"/>
    <w:rsid w:val="003021B3"/>
    <w:rsid w:val="0030279A"/>
    <w:rsid w:val="00302EB5"/>
    <w:rsid w:val="003032A8"/>
    <w:rsid w:val="0030330C"/>
    <w:rsid w:val="003035FF"/>
    <w:rsid w:val="00304BD1"/>
    <w:rsid w:val="00304D58"/>
    <w:rsid w:val="00305474"/>
    <w:rsid w:val="0030627F"/>
    <w:rsid w:val="00306E83"/>
    <w:rsid w:val="00306F03"/>
    <w:rsid w:val="00307553"/>
    <w:rsid w:val="003077C9"/>
    <w:rsid w:val="00310210"/>
    <w:rsid w:val="003105F5"/>
    <w:rsid w:val="0031166C"/>
    <w:rsid w:val="00311F09"/>
    <w:rsid w:val="00312242"/>
    <w:rsid w:val="0031331A"/>
    <w:rsid w:val="0031354B"/>
    <w:rsid w:val="00314837"/>
    <w:rsid w:val="0031490D"/>
    <w:rsid w:val="00314A34"/>
    <w:rsid w:val="00314FDB"/>
    <w:rsid w:val="0031504E"/>
    <w:rsid w:val="00315C46"/>
    <w:rsid w:val="00315FD5"/>
    <w:rsid w:val="00316671"/>
    <w:rsid w:val="003175AA"/>
    <w:rsid w:val="00317D4C"/>
    <w:rsid w:val="00320DD2"/>
    <w:rsid w:val="00320EA5"/>
    <w:rsid w:val="0032159F"/>
    <w:rsid w:val="00321A1C"/>
    <w:rsid w:val="00321B8F"/>
    <w:rsid w:val="0032210F"/>
    <w:rsid w:val="0032289A"/>
    <w:rsid w:val="00323D43"/>
    <w:rsid w:val="00324867"/>
    <w:rsid w:val="00325E6F"/>
    <w:rsid w:val="00326338"/>
    <w:rsid w:val="00326608"/>
    <w:rsid w:val="00327DC6"/>
    <w:rsid w:val="00330917"/>
    <w:rsid w:val="00331B12"/>
    <w:rsid w:val="0033246B"/>
    <w:rsid w:val="00333B1A"/>
    <w:rsid w:val="00334FB8"/>
    <w:rsid w:val="0033517A"/>
    <w:rsid w:val="00335668"/>
    <w:rsid w:val="0033580A"/>
    <w:rsid w:val="00335941"/>
    <w:rsid w:val="00336A55"/>
    <w:rsid w:val="00336A56"/>
    <w:rsid w:val="003377D6"/>
    <w:rsid w:val="00337A9A"/>
    <w:rsid w:val="00337B17"/>
    <w:rsid w:val="00337D40"/>
    <w:rsid w:val="00340098"/>
    <w:rsid w:val="00341F99"/>
    <w:rsid w:val="00341FAC"/>
    <w:rsid w:val="00343327"/>
    <w:rsid w:val="0034441C"/>
    <w:rsid w:val="00344539"/>
    <w:rsid w:val="00344B42"/>
    <w:rsid w:val="00344D7F"/>
    <w:rsid w:val="00345AC8"/>
    <w:rsid w:val="00345E4F"/>
    <w:rsid w:val="0034631A"/>
    <w:rsid w:val="00346720"/>
    <w:rsid w:val="00346AE7"/>
    <w:rsid w:val="00346D4F"/>
    <w:rsid w:val="003472DF"/>
    <w:rsid w:val="0034782A"/>
    <w:rsid w:val="00350DC9"/>
    <w:rsid w:val="0035163E"/>
    <w:rsid w:val="00352179"/>
    <w:rsid w:val="00354C04"/>
    <w:rsid w:val="00355259"/>
    <w:rsid w:val="00355D8F"/>
    <w:rsid w:val="00356A82"/>
    <w:rsid w:val="00356C97"/>
    <w:rsid w:val="00356D75"/>
    <w:rsid w:val="00357177"/>
    <w:rsid w:val="003573B3"/>
    <w:rsid w:val="00357700"/>
    <w:rsid w:val="0036007A"/>
    <w:rsid w:val="00360A87"/>
    <w:rsid w:val="00360B51"/>
    <w:rsid w:val="00361042"/>
    <w:rsid w:val="00361075"/>
    <w:rsid w:val="00361C0D"/>
    <w:rsid w:val="00361ED3"/>
    <w:rsid w:val="00362120"/>
    <w:rsid w:val="0036229A"/>
    <w:rsid w:val="003623D2"/>
    <w:rsid w:val="0036274B"/>
    <w:rsid w:val="003628B2"/>
    <w:rsid w:val="003629D2"/>
    <w:rsid w:val="00362BE6"/>
    <w:rsid w:val="00362C45"/>
    <w:rsid w:val="00362E52"/>
    <w:rsid w:val="003636FB"/>
    <w:rsid w:val="00365581"/>
    <w:rsid w:val="00367488"/>
    <w:rsid w:val="00367679"/>
    <w:rsid w:val="0037015E"/>
    <w:rsid w:val="00370338"/>
    <w:rsid w:val="003703CE"/>
    <w:rsid w:val="00370743"/>
    <w:rsid w:val="00370947"/>
    <w:rsid w:val="003712FA"/>
    <w:rsid w:val="00371C8A"/>
    <w:rsid w:val="00371F00"/>
    <w:rsid w:val="00372ED6"/>
    <w:rsid w:val="003730ED"/>
    <w:rsid w:val="0037342E"/>
    <w:rsid w:val="00373AA3"/>
    <w:rsid w:val="00373F88"/>
    <w:rsid w:val="003740A5"/>
    <w:rsid w:val="0037456A"/>
    <w:rsid w:val="0037481B"/>
    <w:rsid w:val="00375A46"/>
    <w:rsid w:val="00375A84"/>
    <w:rsid w:val="00375E95"/>
    <w:rsid w:val="00375F6D"/>
    <w:rsid w:val="00376D68"/>
    <w:rsid w:val="00376DFF"/>
    <w:rsid w:val="00377200"/>
    <w:rsid w:val="00377CEA"/>
    <w:rsid w:val="00377EA4"/>
    <w:rsid w:val="003804E0"/>
    <w:rsid w:val="00380F9B"/>
    <w:rsid w:val="00381294"/>
    <w:rsid w:val="00381BDD"/>
    <w:rsid w:val="00381D43"/>
    <w:rsid w:val="00382560"/>
    <w:rsid w:val="003828B5"/>
    <w:rsid w:val="00382FDE"/>
    <w:rsid w:val="00383DA3"/>
    <w:rsid w:val="0038474B"/>
    <w:rsid w:val="003867D8"/>
    <w:rsid w:val="00386A1B"/>
    <w:rsid w:val="00387487"/>
    <w:rsid w:val="00387C07"/>
    <w:rsid w:val="0039096F"/>
    <w:rsid w:val="00390A4A"/>
    <w:rsid w:val="00390EBC"/>
    <w:rsid w:val="00391152"/>
    <w:rsid w:val="00392C5B"/>
    <w:rsid w:val="00392F99"/>
    <w:rsid w:val="003932F7"/>
    <w:rsid w:val="00394FD1"/>
    <w:rsid w:val="00395302"/>
    <w:rsid w:val="003954B7"/>
    <w:rsid w:val="00395A8D"/>
    <w:rsid w:val="00396810"/>
    <w:rsid w:val="003A0891"/>
    <w:rsid w:val="003A0915"/>
    <w:rsid w:val="003A124B"/>
    <w:rsid w:val="003A18BE"/>
    <w:rsid w:val="003A2349"/>
    <w:rsid w:val="003A249C"/>
    <w:rsid w:val="003A3424"/>
    <w:rsid w:val="003A34DF"/>
    <w:rsid w:val="003A389F"/>
    <w:rsid w:val="003A3D40"/>
    <w:rsid w:val="003A4A67"/>
    <w:rsid w:val="003A5A1E"/>
    <w:rsid w:val="003A7148"/>
    <w:rsid w:val="003A72F0"/>
    <w:rsid w:val="003A7AE8"/>
    <w:rsid w:val="003B011E"/>
    <w:rsid w:val="003B076E"/>
    <w:rsid w:val="003B29A0"/>
    <w:rsid w:val="003B31FC"/>
    <w:rsid w:val="003B3404"/>
    <w:rsid w:val="003B3BC8"/>
    <w:rsid w:val="003B3CE1"/>
    <w:rsid w:val="003B4207"/>
    <w:rsid w:val="003B4D64"/>
    <w:rsid w:val="003B53A7"/>
    <w:rsid w:val="003B6628"/>
    <w:rsid w:val="003B6CAD"/>
    <w:rsid w:val="003B7103"/>
    <w:rsid w:val="003B71C2"/>
    <w:rsid w:val="003B71D8"/>
    <w:rsid w:val="003B76A8"/>
    <w:rsid w:val="003B7CAB"/>
    <w:rsid w:val="003B7E43"/>
    <w:rsid w:val="003C04C6"/>
    <w:rsid w:val="003C175F"/>
    <w:rsid w:val="003C1D66"/>
    <w:rsid w:val="003C1E47"/>
    <w:rsid w:val="003C1F19"/>
    <w:rsid w:val="003C27AE"/>
    <w:rsid w:val="003C2AB9"/>
    <w:rsid w:val="003C3136"/>
    <w:rsid w:val="003C32A4"/>
    <w:rsid w:val="003C37BF"/>
    <w:rsid w:val="003C3D90"/>
    <w:rsid w:val="003C3E5C"/>
    <w:rsid w:val="003C4419"/>
    <w:rsid w:val="003C4DDA"/>
    <w:rsid w:val="003C51CB"/>
    <w:rsid w:val="003C5524"/>
    <w:rsid w:val="003C5E3E"/>
    <w:rsid w:val="003C6249"/>
    <w:rsid w:val="003C6EA3"/>
    <w:rsid w:val="003D015D"/>
    <w:rsid w:val="003D051C"/>
    <w:rsid w:val="003D0B2B"/>
    <w:rsid w:val="003D152F"/>
    <w:rsid w:val="003D1638"/>
    <w:rsid w:val="003D237E"/>
    <w:rsid w:val="003D3426"/>
    <w:rsid w:val="003D380B"/>
    <w:rsid w:val="003D4ADC"/>
    <w:rsid w:val="003D5B52"/>
    <w:rsid w:val="003D6476"/>
    <w:rsid w:val="003E00E7"/>
    <w:rsid w:val="003E03E9"/>
    <w:rsid w:val="003E0B5D"/>
    <w:rsid w:val="003E119F"/>
    <w:rsid w:val="003E121F"/>
    <w:rsid w:val="003E1905"/>
    <w:rsid w:val="003E1CC8"/>
    <w:rsid w:val="003E49EF"/>
    <w:rsid w:val="003E4F19"/>
    <w:rsid w:val="003E5702"/>
    <w:rsid w:val="003E5E64"/>
    <w:rsid w:val="003E6050"/>
    <w:rsid w:val="003E6159"/>
    <w:rsid w:val="003E619F"/>
    <w:rsid w:val="003E6AB6"/>
    <w:rsid w:val="003E787B"/>
    <w:rsid w:val="003F04AA"/>
    <w:rsid w:val="003F09C4"/>
    <w:rsid w:val="003F2758"/>
    <w:rsid w:val="003F2D24"/>
    <w:rsid w:val="003F2E15"/>
    <w:rsid w:val="003F318A"/>
    <w:rsid w:val="003F32FE"/>
    <w:rsid w:val="003F380F"/>
    <w:rsid w:val="003F3F23"/>
    <w:rsid w:val="003F4908"/>
    <w:rsid w:val="003F53E9"/>
    <w:rsid w:val="003F57C6"/>
    <w:rsid w:val="003F661B"/>
    <w:rsid w:val="003F6F05"/>
    <w:rsid w:val="003F7552"/>
    <w:rsid w:val="004002AE"/>
    <w:rsid w:val="0040033B"/>
    <w:rsid w:val="004008D3"/>
    <w:rsid w:val="00400C50"/>
    <w:rsid w:val="00402399"/>
    <w:rsid w:val="0040243A"/>
    <w:rsid w:val="00402D66"/>
    <w:rsid w:val="00403FDA"/>
    <w:rsid w:val="004051BC"/>
    <w:rsid w:val="004059BB"/>
    <w:rsid w:val="00405E4C"/>
    <w:rsid w:val="00406448"/>
    <w:rsid w:val="0040649D"/>
    <w:rsid w:val="00406A06"/>
    <w:rsid w:val="00406CA5"/>
    <w:rsid w:val="00406F18"/>
    <w:rsid w:val="0040726D"/>
    <w:rsid w:val="00407FDE"/>
    <w:rsid w:val="00411081"/>
    <w:rsid w:val="00411A5C"/>
    <w:rsid w:val="00412482"/>
    <w:rsid w:val="00412BD0"/>
    <w:rsid w:val="004130B2"/>
    <w:rsid w:val="00413D50"/>
    <w:rsid w:val="00413E1E"/>
    <w:rsid w:val="00414E03"/>
    <w:rsid w:val="0041599C"/>
    <w:rsid w:val="0041721D"/>
    <w:rsid w:val="00417510"/>
    <w:rsid w:val="00420E37"/>
    <w:rsid w:val="00420E5F"/>
    <w:rsid w:val="00420FD4"/>
    <w:rsid w:val="00422051"/>
    <w:rsid w:val="00423452"/>
    <w:rsid w:val="004238E6"/>
    <w:rsid w:val="00424003"/>
    <w:rsid w:val="00424397"/>
    <w:rsid w:val="00424BDF"/>
    <w:rsid w:val="0042532D"/>
    <w:rsid w:val="00425D08"/>
    <w:rsid w:val="00426010"/>
    <w:rsid w:val="00426F86"/>
    <w:rsid w:val="00427266"/>
    <w:rsid w:val="0043052B"/>
    <w:rsid w:val="00431620"/>
    <w:rsid w:val="00431D9E"/>
    <w:rsid w:val="00432367"/>
    <w:rsid w:val="00432650"/>
    <w:rsid w:val="00432985"/>
    <w:rsid w:val="00432BBD"/>
    <w:rsid w:val="00432E17"/>
    <w:rsid w:val="00433071"/>
    <w:rsid w:val="004338DE"/>
    <w:rsid w:val="0043394E"/>
    <w:rsid w:val="004339F5"/>
    <w:rsid w:val="00433D90"/>
    <w:rsid w:val="0043461B"/>
    <w:rsid w:val="0043490F"/>
    <w:rsid w:val="00434C35"/>
    <w:rsid w:val="004352E7"/>
    <w:rsid w:val="004364EB"/>
    <w:rsid w:val="00437BC4"/>
    <w:rsid w:val="00440779"/>
    <w:rsid w:val="00440E06"/>
    <w:rsid w:val="00441B52"/>
    <w:rsid w:val="00441F04"/>
    <w:rsid w:val="00441FF7"/>
    <w:rsid w:val="004429F1"/>
    <w:rsid w:val="00442C65"/>
    <w:rsid w:val="00443068"/>
    <w:rsid w:val="0044313D"/>
    <w:rsid w:val="0044318A"/>
    <w:rsid w:val="00443756"/>
    <w:rsid w:val="004439A2"/>
    <w:rsid w:val="00443F31"/>
    <w:rsid w:val="0044400C"/>
    <w:rsid w:val="00444133"/>
    <w:rsid w:val="00444492"/>
    <w:rsid w:val="004454E1"/>
    <w:rsid w:val="004455CF"/>
    <w:rsid w:val="0044630E"/>
    <w:rsid w:val="0044664E"/>
    <w:rsid w:val="004467D2"/>
    <w:rsid w:val="004468C9"/>
    <w:rsid w:val="00446D79"/>
    <w:rsid w:val="00447645"/>
    <w:rsid w:val="0044780B"/>
    <w:rsid w:val="00447D50"/>
    <w:rsid w:val="00450C31"/>
    <w:rsid w:val="00450EB7"/>
    <w:rsid w:val="00450FB5"/>
    <w:rsid w:val="00451011"/>
    <w:rsid w:val="00451652"/>
    <w:rsid w:val="004521D7"/>
    <w:rsid w:val="00452983"/>
    <w:rsid w:val="00453B07"/>
    <w:rsid w:val="00457A30"/>
    <w:rsid w:val="00460142"/>
    <w:rsid w:val="00460336"/>
    <w:rsid w:val="004606EC"/>
    <w:rsid w:val="0046090B"/>
    <w:rsid w:val="00460C11"/>
    <w:rsid w:val="00461445"/>
    <w:rsid w:val="00461E59"/>
    <w:rsid w:val="004621CE"/>
    <w:rsid w:val="0046279D"/>
    <w:rsid w:val="00462D78"/>
    <w:rsid w:val="00463554"/>
    <w:rsid w:val="00463819"/>
    <w:rsid w:val="00463DBF"/>
    <w:rsid w:val="00463FC2"/>
    <w:rsid w:val="0046435A"/>
    <w:rsid w:val="004643BB"/>
    <w:rsid w:val="0046492F"/>
    <w:rsid w:val="00465676"/>
    <w:rsid w:val="004663C5"/>
    <w:rsid w:val="004663ED"/>
    <w:rsid w:val="004675D8"/>
    <w:rsid w:val="00467D5B"/>
    <w:rsid w:val="00470839"/>
    <w:rsid w:val="004714E0"/>
    <w:rsid w:val="0047165D"/>
    <w:rsid w:val="00471AD6"/>
    <w:rsid w:val="0047334B"/>
    <w:rsid w:val="00473379"/>
    <w:rsid w:val="00473959"/>
    <w:rsid w:val="00473B3F"/>
    <w:rsid w:val="004743D3"/>
    <w:rsid w:val="004745D6"/>
    <w:rsid w:val="00474CBC"/>
    <w:rsid w:val="00474D0D"/>
    <w:rsid w:val="004756C5"/>
    <w:rsid w:val="00475717"/>
    <w:rsid w:val="004758FE"/>
    <w:rsid w:val="00475E24"/>
    <w:rsid w:val="004768F8"/>
    <w:rsid w:val="00477437"/>
    <w:rsid w:val="004774A3"/>
    <w:rsid w:val="0047755A"/>
    <w:rsid w:val="004775A5"/>
    <w:rsid w:val="00477B29"/>
    <w:rsid w:val="00477D1A"/>
    <w:rsid w:val="00477DA1"/>
    <w:rsid w:val="00477DF6"/>
    <w:rsid w:val="00477E5A"/>
    <w:rsid w:val="00477E8A"/>
    <w:rsid w:val="00477F3D"/>
    <w:rsid w:val="00480CB8"/>
    <w:rsid w:val="0048148D"/>
    <w:rsid w:val="004816FC"/>
    <w:rsid w:val="0048175E"/>
    <w:rsid w:val="00481910"/>
    <w:rsid w:val="00482529"/>
    <w:rsid w:val="00482838"/>
    <w:rsid w:val="00482BFE"/>
    <w:rsid w:val="004838AC"/>
    <w:rsid w:val="00483BB4"/>
    <w:rsid w:val="00483E6C"/>
    <w:rsid w:val="004849AE"/>
    <w:rsid w:val="00484ECA"/>
    <w:rsid w:val="00485086"/>
    <w:rsid w:val="004854F5"/>
    <w:rsid w:val="00485B06"/>
    <w:rsid w:val="00485ECC"/>
    <w:rsid w:val="004862A8"/>
    <w:rsid w:val="00486F7C"/>
    <w:rsid w:val="00487278"/>
    <w:rsid w:val="004905B3"/>
    <w:rsid w:val="00490D6D"/>
    <w:rsid w:val="00491B5A"/>
    <w:rsid w:val="004923D2"/>
    <w:rsid w:val="004923D7"/>
    <w:rsid w:val="0049275A"/>
    <w:rsid w:val="00492A41"/>
    <w:rsid w:val="004931B3"/>
    <w:rsid w:val="004942AC"/>
    <w:rsid w:val="0049560F"/>
    <w:rsid w:val="00495D93"/>
    <w:rsid w:val="00496692"/>
    <w:rsid w:val="004971FD"/>
    <w:rsid w:val="0049735E"/>
    <w:rsid w:val="00497462"/>
    <w:rsid w:val="0049747F"/>
    <w:rsid w:val="004976A4"/>
    <w:rsid w:val="00497CA8"/>
    <w:rsid w:val="00497E38"/>
    <w:rsid w:val="004A0583"/>
    <w:rsid w:val="004A0D62"/>
    <w:rsid w:val="004A190A"/>
    <w:rsid w:val="004A2CDF"/>
    <w:rsid w:val="004A2E19"/>
    <w:rsid w:val="004A3E8E"/>
    <w:rsid w:val="004A416E"/>
    <w:rsid w:val="004A4283"/>
    <w:rsid w:val="004A4A70"/>
    <w:rsid w:val="004A4E31"/>
    <w:rsid w:val="004A57D2"/>
    <w:rsid w:val="004A6087"/>
    <w:rsid w:val="004A6F50"/>
    <w:rsid w:val="004A70B5"/>
    <w:rsid w:val="004A7D6A"/>
    <w:rsid w:val="004B017D"/>
    <w:rsid w:val="004B0CBE"/>
    <w:rsid w:val="004B0DDF"/>
    <w:rsid w:val="004B227A"/>
    <w:rsid w:val="004B284B"/>
    <w:rsid w:val="004B3802"/>
    <w:rsid w:val="004B5EB6"/>
    <w:rsid w:val="004B7C00"/>
    <w:rsid w:val="004C02C4"/>
    <w:rsid w:val="004C03D9"/>
    <w:rsid w:val="004C0B85"/>
    <w:rsid w:val="004C1076"/>
    <w:rsid w:val="004C1B4A"/>
    <w:rsid w:val="004C1BE3"/>
    <w:rsid w:val="004C2538"/>
    <w:rsid w:val="004C26A9"/>
    <w:rsid w:val="004C26CD"/>
    <w:rsid w:val="004C352F"/>
    <w:rsid w:val="004C3739"/>
    <w:rsid w:val="004C3883"/>
    <w:rsid w:val="004C38FB"/>
    <w:rsid w:val="004C3C74"/>
    <w:rsid w:val="004C4AB4"/>
    <w:rsid w:val="004C6940"/>
    <w:rsid w:val="004C765B"/>
    <w:rsid w:val="004C77E9"/>
    <w:rsid w:val="004C79C4"/>
    <w:rsid w:val="004C7CB2"/>
    <w:rsid w:val="004D026A"/>
    <w:rsid w:val="004D0463"/>
    <w:rsid w:val="004D046E"/>
    <w:rsid w:val="004D06AE"/>
    <w:rsid w:val="004D0802"/>
    <w:rsid w:val="004D1DCE"/>
    <w:rsid w:val="004D2165"/>
    <w:rsid w:val="004D24F9"/>
    <w:rsid w:val="004D27FE"/>
    <w:rsid w:val="004D29EE"/>
    <w:rsid w:val="004D2C44"/>
    <w:rsid w:val="004D2E99"/>
    <w:rsid w:val="004D3BB6"/>
    <w:rsid w:val="004D3F3E"/>
    <w:rsid w:val="004D43FD"/>
    <w:rsid w:val="004D4540"/>
    <w:rsid w:val="004D4893"/>
    <w:rsid w:val="004D4D49"/>
    <w:rsid w:val="004D4EE9"/>
    <w:rsid w:val="004D5A84"/>
    <w:rsid w:val="004D5EE2"/>
    <w:rsid w:val="004D680B"/>
    <w:rsid w:val="004D6B47"/>
    <w:rsid w:val="004D6D3E"/>
    <w:rsid w:val="004D6F33"/>
    <w:rsid w:val="004D746F"/>
    <w:rsid w:val="004D76E7"/>
    <w:rsid w:val="004E006D"/>
    <w:rsid w:val="004E0F4B"/>
    <w:rsid w:val="004E1792"/>
    <w:rsid w:val="004E1D43"/>
    <w:rsid w:val="004E206F"/>
    <w:rsid w:val="004E28C5"/>
    <w:rsid w:val="004E2B23"/>
    <w:rsid w:val="004E31E9"/>
    <w:rsid w:val="004E32CE"/>
    <w:rsid w:val="004E33D3"/>
    <w:rsid w:val="004E3469"/>
    <w:rsid w:val="004E352A"/>
    <w:rsid w:val="004E3747"/>
    <w:rsid w:val="004E388F"/>
    <w:rsid w:val="004E3AAD"/>
    <w:rsid w:val="004E483C"/>
    <w:rsid w:val="004E4A61"/>
    <w:rsid w:val="004E5869"/>
    <w:rsid w:val="004E5E9D"/>
    <w:rsid w:val="004E5F2B"/>
    <w:rsid w:val="004E638B"/>
    <w:rsid w:val="004E6795"/>
    <w:rsid w:val="004E786A"/>
    <w:rsid w:val="004E7C63"/>
    <w:rsid w:val="004E7EC1"/>
    <w:rsid w:val="004F1019"/>
    <w:rsid w:val="004F2E76"/>
    <w:rsid w:val="004F436E"/>
    <w:rsid w:val="004F456D"/>
    <w:rsid w:val="004F489B"/>
    <w:rsid w:val="004F5DB3"/>
    <w:rsid w:val="004F626E"/>
    <w:rsid w:val="004F6422"/>
    <w:rsid w:val="004F692F"/>
    <w:rsid w:val="004F6C5C"/>
    <w:rsid w:val="004F71A1"/>
    <w:rsid w:val="004F75FF"/>
    <w:rsid w:val="004F7CAC"/>
    <w:rsid w:val="005008B4"/>
    <w:rsid w:val="00500951"/>
    <w:rsid w:val="005025EA"/>
    <w:rsid w:val="005027DE"/>
    <w:rsid w:val="00502800"/>
    <w:rsid w:val="00502EEE"/>
    <w:rsid w:val="005032BF"/>
    <w:rsid w:val="00503780"/>
    <w:rsid w:val="0050408F"/>
    <w:rsid w:val="005041AC"/>
    <w:rsid w:val="005041C8"/>
    <w:rsid w:val="00504E2A"/>
    <w:rsid w:val="0050559B"/>
    <w:rsid w:val="005056C5"/>
    <w:rsid w:val="00505F1D"/>
    <w:rsid w:val="00506B00"/>
    <w:rsid w:val="00506E9B"/>
    <w:rsid w:val="00507F68"/>
    <w:rsid w:val="005108D5"/>
    <w:rsid w:val="00512BB0"/>
    <w:rsid w:val="00515469"/>
    <w:rsid w:val="00515A95"/>
    <w:rsid w:val="00516530"/>
    <w:rsid w:val="005200A1"/>
    <w:rsid w:val="00520A22"/>
    <w:rsid w:val="00520DA8"/>
    <w:rsid w:val="005214CD"/>
    <w:rsid w:val="00521E04"/>
    <w:rsid w:val="0052208C"/>
    <w:rsid w:val="00522556"/>
    <w:rsid w:val="00522D5B"/>
    <w:rsid w:val="00522F5E"/>
    <w:rsid w:val="005232B3"/>
    <w:rsid w:val="0052342C"/>
    <w:rsid w:val="00523633"/>
    <w:rsid w:val="00523872"/>
    <w:rsid w:val="00523CAB"/>
    <w:rsid w:val="00524083"/>
    <w:rsid w:val="005241F8"/>
    <w:rsid w:val="00524229"/>
    <w:rsid w:val="00524D57"/>
    <w:rsid w:val="00525677"/>
    <w:rsid w:val="00525BB8"/>
    <w:rsid w:val="00525C96"/>
    <w:rsid w:val="005278E0"/>
    <w:rsid w:val="00527DF7"/>
    <w:rsid w:val="005302BD"/>
    <w:rsid w:val="005302D0"/>
    <w:rsid w:val="005307C1"/>
    <w:rsid w:val="00530B2C"/>
    <w:rsid w:val="005319B3"/>
    <w:rsid w:val="005319FD"/>
    <w:rsid w:val="005322EF"/>
    <w:rsid w:val="0053262D"/>
    <w:rsid w:val="005326B4"/>
    <w:rsid w:val="00532A84"/>
    <w:rsid w:val="00532AD0"/>
    <w:rsid w:val="005341E3"/>
    <w:rsid w:val="00534293"/>
    <w:rsid w:val="00535226"/>
    <w:rsid w:val="00535260"/>
    <w:rsid w:val="005358FC"/>
    <w:rsid w:val="00535A9D"/>
    <w:rsid w:val="00536819"/>
    <w:rsid w:val="0053687B"/>
    <w:rsid w:val="005369E0"/>
    <w:rsid w:val="005370A1"/>
    <w:rsid w:val="005379C3"/>
    <w:rsid w:val="00542551"/>
    <w:rsid w:val="00542557"/>
    <w:rsid w:val="00543124"/>
    <w:rsid w:val="00543FB6"/>
    <w:rsid w:val="00544CB6"/>
    <w:rsid w:val="00544D67"/>
    <w:rsid w:val="00545594"/>
    <w:rsid w:val="00545BD8"/>
    <w:rsid w:val="00545E26"/>
    <w:rsid w:val="00546370"/>
    <w:rsid w:val="0054652D"/>
    <w:rsid w:val="00546C36"/>
    <w:rsid w:val="00547220"/>
    <w:rsid w:val="00547481"/>
    <w:rsid w:val="00547767"/>
    <w:rsid w:val="00550563"/>
    <w:rsid w:val="0055117D"/>
    <w:rsid w:val="00551C93"/>
    <w:rsid w:val="00551DED"/>
    <w:rsid w:val="0055246E"/>
    <w:rsid w:val="00553BE9"/>
    <w:rsid w:val="00554CE3"/>
    <w:rsid w:val="00554EFD"/>
    <w:rsid w:val="00555451"/>
    <w:rsid w:val="005566E6"/>
    <w:rsid w:val="00556908"/>
    <w:rsid w:val="00557251"/>
    <w:rsid w:val="00557831"/>
    <w:rsid w:val="00557842"/>
    <w:rsid w:val="00557EEB"/>
    <w:rsid w:val="005605C9"/>
    <w:rsid w:val="0056067D"/>
    <w:rsid w:val="005613E3"/>
    <w:rsid w:val="00561906"/>
    <w:rsid w:val="00561921"/>
    <w:rsid w:val="00561CF1"/>
    <w:rsid w:val="00562C13"/>
    <w:rsid w:val="00562FEC"/>
    <w:rsid w:val="0056374C"/>
    <w:rsid w:val="005637D0"/>
    <w:rsid w:val="00563839"/>
    <w:rsid w:val="00564380"/>
    <w:rsid w:val="005645E2"/>
    <w:rsid w:val="00564F79"/>
    <w:rsid w:val="00564FC6"/>
    <w:rsid w:val="0056554F"/>
    <w:rsid w:val="00565E74"/>
    <w:rsid w:val="00565F4B"/>
    <w:rsid w:val="005661AD"/>
    <w:rsid w:val="00566265"/>
    <w:rsid w:val="00566970"/>
    <w:rsid w:val="00566FDA"/>
    <w:rsid w:val="00567A31"/>
    <w:rsid w:val="005702F0"/>
    <w:rsid w:val="005704FB"/>
    <w:rsid w:val="005705FD"/>
    <w:rsid w:val="00570CB6"/>
    <w:rsid w:val="005711F7"/>
    <w:rsid w:val="00572FCE"/>
    <w:rsid w:val="005730AC"/>
    <w:rsid w:val="005732B9"/>
    <w:rsid w:val="00574147"/>
    <w:rsid w:val="00574367"/>
    <w:rsid w:val="00574A57"/>
    <w:rsid w:val="00574B92"/>
    <w:rsid w:val="00574F13"/>
    <w:rsid w:val="0057581C"/>
    <w:rsid w:val="00575B58"/>
    <w:rsid w:val="00575B67"/>
    <w:rsid w:val="00576240"/>
    <w:rsid w:val="00576523"/>
    <w:rsid w:val="00576CA6"/>
    <w:rsid w:val="0057738E"/>
    <w:rsid w:val="00577709"/>
    <w:rsid w:val="0057788D"/>
    <w:rsid w:val="00577F41"/>
    <w:rsid w:val="00577F7B"/>
    <w:rsid w:val="00580A2B"/>
    <w:rsid w:val="00580FBE"/>
    <w:rsid w:val="005811FA"/>
    <w:rsid w:val="00581994"/>
    <w:rsid w:val="00581B27"/>
    <w:rsid w:val="00582046"/>
    <w:rsid w:val="00582ACE"/>
    <w:rsid w:val="005832FE"/>
    <w:rsid w:val="00583C48"/>
    <w:rsid w:val="0058401B"/>
    <w:rsid w:val="0058409C"/>
    <w:rsid w:val="0058450C"/>
    <w:rsid w:val="00584F78"/>
    <w:rsid w:val="005865BE"/>
    <w:rsid w:val="005866A4"/>
    <w:rsid w:val="005866BC"/>
    <w:rsid w:val="00587295"/>
    <w:rsid w:val="00587F39"/>
    <w:rsid w:val="00590A29"/>
    <w:rsid w:val="00590F1D"/>
    <w:rsid w:val="00591843"/>
    <w:rsid w:val="00591BD5"/>
    <w:rsid w:val="00591C6E"/>
    <w:rsid w:val="005920E9"/>
    <w:rsid w:val="005921A6"/>
    <w:rsid w:val="00592DAA"/>
    <w:rsid w:val="00592EC2"/>
    <w:rsid w:val="00593A45"/>
    <w:rsid w:val="00593F83"/>
    <w:rsid w:val="00594E09"/>
    <w:rsid w:val="0059516D"/>
    <w:rsid w:val="005956EF"/>
    <w:rsid w:val="00595A36"/>
    <w:rsid w:val="00595B03"/>
    <w:rsid w:val="0059604D"/>
    <w:rsid w:val="0059714C"/>
    <w:rsid w:val="005A15DF"/>
    <w:rsid w:val="005A1646"/>
    <w:rsid w:val="005A215D"/>
    <w:rsid w:val="005A217E"/>
    <w:rsid w:val="005A2F6A"/>
    <w:rsid w:val="005A4539"/>
    <w:rsid w:val="005A4647"/>
    <w:rsid w:val="005A4BD5"/>
    <w:rsid w:val="005A5737"/>
    <w:rsid w:val="005A5CF1"/>
    <w:rsid w:val="005A5EE8"/>
    <w:rsid w:val="005A7A92"/>
    <w:rsid w:val="005A7CA2"/>
    <w:rsid w:val="005B07AA"/>
    <w:rsid w:val="005B0DFA"/>
    <w:rsid w:val="005B1313"/>
    <w:rsid w:val="005B1869"/>
    <w:rsid w:val="005B57AF"/>
    <w:rsid w:val="005B5EFF"/>
    <w:rsid w:val="005B6713"/>
    <w:rsid w:val="005B6DBE"/>
    <w:rsid w:val="005B6E21"/>
    <w:rsid w:val="005B7386"/>
    <w:rsid w:val="005B76F2"/>
    <w:rsid w:val="005B7BD5"/>
    <w:rsid w:val="005B7E36"/>
    <w:rsid w:val="005C0145"/>
    <w:rsid w:val="005C01FD"/>
    <w:rsid w:val="005C2F9D"/>
    <w:rsid w:val="005C35D9"/>
    <w:rsid w:val="005C416C"/>
    <w:rsid w:val="005C4987"/>
    <w:rsid w:val="005C4F1C"/>
    <w:rsid w:val="005C5148"/>
    <w:rsid w:val="005C546D"/>
    <w:rsid w:val="005C56D2"/>
    <w:rsid w:val="005C5786"/>
    <w:rsid w:val="005C67C5"/>
    <w:rsid w:val="005C6B0D"/>
    <w:rsid w:val="005C6CB7"/>
    <w:rsid w:val="005C6D65"/>
    <w:rsid w:val="005C7DB7"/>
    <w:rsid w:val="005C7F15"/>
    <w:rsid w:val="005C7F81"/>
    <w:rsid w:val="005D0754"/>
    <w:rsid w:val="005D1597"/>
    <w:rsid w:val="005D195F"/>
    <w:rsid w:val="005D1E1C"/>
    <w:rsid w:val="005D22BD"/>
    <w:rsid w:val="005D2602"/>
    <w:rsid w:val="005D360C"/>
    <w:rsid w:val="005D3938"/>
    <w:rsid w:val="005D4CD0"/>
    <w:rsid w:val="005D5428"/>
    <w:rsid w:val="005D5732"/>
    <w:rsid w:val="005D61C6"/>
    <w:rsid w:val="005D684E"/>
    <w:rsid w:val="005D6E2B"/>
    <w:rsid w:val="005D70F7"/>
    <w:rsid w:val="005D77E7"/>
    <w:rsid w:val="005D7AF4"/>
    <w:rsid w:val="005D7D6D"/>
    <w:rsid w:val="005E11DE"/>
    <w:rsid w:val="005E131F"/>
    <w:rsid w:val="005E17D4"/>
    <w:rsid w:val="005E1F55"/>
    <w:rsid w:val="005E2A3E"/>
    <w:rsid w:val="005E2CD6"/>
    <w:rsid w:val="005E3685"/>
    <w:rsid w:val="005E37E9"/>
    <w:rsid w:val="005E43DC"/>
    <w:rsid w:val="005E5639"/>
    <w:rsid w:val="005E5B81"/>
    <w:rsid w:val="005E6F6C"/>
    <w:rsid w:val="005E741D"/>
    <w:rsid w:val="005E7601"/>
    <w:rsid w:val="005E777F"/>
    <w:rsid w:val="005F0014"/>
    <w:rsid w:val="005F03F8"/>
    <w:rsid w:val="005F048E"/>
    <w:rsid w:val="005F0D69"/>
    <w:rsid w:val="005F2A82"/>
    <w:rsid w:val="005F431D"/>
    <w:rsid w:val="005F4517"/>
    <w:rsid w:val="005F59DF"/>
    <w:rsid w:val="005F65B5"/>
    <w:rsid w:val="005F7223"/>
    <w:rsid w:val="006002A1"/>
    <w:rsid w:val="00600691"/>
    <w:rsid w:val="006007E2"/>
    <w:rsid w:val="0060294E"/>
    <w:rsid w:val="00603243"/>
    <w:rsid w:val="00603F18"/>
    <w:rsid w:val="00604744"/>
    <w:rsid w:val="006047F5"/>
    <w:rsid w:val="00604BC2"/>
    <w:rsid w:val="00604D8F"/>
    <w:rsid w:val="00605C50"/>
    <w:rsid w:val="00607CF3"/>
    <w:rsid w:val="00610280"/>
    <w:rsid w:val="006102C6"/>
    <w:rsid w:val="0061194D"/>
    <w:rsid w:val="00611DF4"/>
    <w:rsid w:val="0061262D"/>
    <w:rsid w:val="006127E6"/>
    <w:rsid w:val="00612E55"/>
    <w:rsid w:val="00613010"/>
    <w:rsid w:val="006138E6"/>
    <w:rsid w:val="00613DD5"/>
    <w:rsid w:val="006140AA"/>
    <w:rsid w:val="00615F72"/>
    <w:rsid w:val="00615FEA"/>
    <w:rsid w:val="0061671C"/>
    <w:rsid w:val="00617C48"/>
    <w:rsid w:val="00617DC1"/>
    <w:rsid w:val="00620381"/>
    <w:rsid w:val="006204EE"/>
    <w:rsid w:val="00620845"/>
    <w:rsid w:val="0062084C"/>
    <w:rsid w:val="00620DDC"/>
    <w:rsid w:val="006211A8"/>
    <w:rsid w:val="00621E5F"/>
    <w:rsid w:val="006223B2"/>
    <w:rsid w:val="006244BA"/>
    <w:rsid w:val="0062461B"/>
    <w:rsid w:val="00625639"/>
    <w:rsid w:val="00625AB6"/>
    <w:rsid w:val="00627A6C"/>
    <w:rsid w:val="006300FD"/>
    <w:rsid w:val="006318BB"/>
    <w:rsid w:val="0063195C"/>
    <w:rsid w:val="0063292E"/>
    <w:rsid w:val="00633018"/>
    <w:rsid w:val="00634491"/>
    <w:rsid w:val="00634526"/>
    <w:rsid w:val="00634A88"/>
    <w:rsid w:val="00635758"/>
    <w:rsid w:val="00635C29"/>
    <w:rsid w:val="00635EDA"/>
    <w:rsid w:val="00635EEB"/>
    <w:rsid w:val="0063640F"/>
    <w:rsid w:val="006365C4"/>
    <w:rsid w:val="0063696A"/>
    <w:rsid w:val="0063754D"/>
    <w:rsid w:val="0063791A"/>
    <w:rsid w:val="006411B3"/>
    <w:rsid w:val="00641470"/>
    <w:rsid w:val="00641D2F"/>
    <w:rsid w:val="00641DFF"/>
    <w:rsid w:val="00641F16"/>
    <w:rsid w:val="00642002"/>
    <w:rsid w:val="0064221E"/>
    <w:rsid w:val="006424AA"/>
    <w:rsid w:val="006428AD"/>
    <w:rsid w:val="00642AD1"/>
    <w:rsid w:val="00643372"/>
    <w:rsid w:val="00644592"/>
    <w:rsid w:val="00644B80"/>
    <w:rsid w:val="0064572A"/>
    <w:rsid w:val="0064575E"/>
    <w:rsid w:val="00646519"/>
    <w:rsid w:val="006466F2"/>
    <w:rsid w:val="00647DF2"/>
    <w:rsid w:val="00647F44"/>
    <w:rsid w:val="00653634"/>
    <w:rsid w:val="00653D79"/>
    <w:rsid w:val="00654128"/>
    <w:rsid w:val="0065440A"/>
    <w:rsid w:val="00654C54"/>
    <w:rsid w:val="0065507D"/>
    <w:rsid w:val="00656DB3"/>
    <w:rsid w:val="006576DC"/>
    <w:rsid w:val="00660980"/>
    <w:rsid w:val="00660C9F"/>
    <w:rsid w:val="0066270B"/>
    <w:rsid w:val="00662B9E"/>
    <w:rsid w:val="00662C19"/>
    <w:rsid w:val="00663B71"/>
    <w:rsid w:val="00663E7B"/>
    <w:rsid w:val="006656AB"/>
    <w:rsid w:val="006657A4"/>
    <w:rsid w:val="00665F85"/>
    <w:rsid w:val="006661C4"/>
    <w:rsid w:val="00666329"/>
    <w:rsid w:val="00666AEA"/>
    <w:rsid w:val="00671127"/>
    <w:rsid w:val="006712CA"/>
    <w:rsid w:val="00671478"/>
    <w:rsid w:val="00671B61"/>
    <w:rsid w:val="00671F50"/>
    <w:rsid w:val="0067295A"/>
    <w:rsid w:val="00673099"/>
    <w:rsid w:val="00674433"/>
    <w:rsid w:val="00674D67"/>
    <w:rsid w:val="00674F37"/>
    <w:rsid w:val="0067520C"/>
    <w:rsid w:val="00675E10"/>
    <w:rsid w:val="006762FD"/>
    <w:rsid w:val="006766BA"/>
    <w:rsid w:val="00676C3C"/>
    <w:rsid w:val="00677DFE"/>
    <w:rsid w:val="00680FAA"/>
    <w:rsid w:val="0068142E"/>
    <w:rsid w:val="00681D97"/>
    <w:rsid w:val="00682456"/>
    <w:rsid w:val="0068280F"/>
    <w:rsid w:val="00684B99"/>
    <w:rsid w:val="00684C56"/>
    <w:rsid w:val="00685035"/>
    <w:rsid w:val="006864BB"/>
    <w:rsid w:val="00686DD5"/>
    <w:rsid w:val="00687346"/>
    <w:rsid w:val="00687B41"/>
    <w:rsid w:val="00687B8C"/>
    <w:rsid w:val="00687D7E"/>
    <w:rsid w:val="006900BD"/>
    <w:rsid w:val="006908EE"/>
    <w:rsid w:val="00690E78"/>
    <w:rsid w:val="006910D5"/>
    <w:rsid w:val="006913D7"/>
    <w:rsid w:val="006919FA"/>
    <w:rsid w:val="00692209"/>
    <w:rsid w:val="0069244C"/>
    <w:rsid w:val="006927FC"/>
    <w:rsid w:val="00694F98"/>
    <w:rsid w:val="0069503F"/>
    <w:rsid w:val="006951C2"/>
    <w:rsid w:val="0069575F"/>
    <w:rsid w:val="00697245"/>
    <w:rsid w:val="006974AA"/>
    <w:rsid w:val="006A0020"/>
    <w:rsid w:val="006A0567"/>
    <w:rsid w:val="006A07A6"/>
    <w:rsid w:val="006A19C6"/>
    <w:rsid w:val="006A2B2E"/>
    <w:rsid w:val="006A376B"/>
    <w:rsid w:val="006A37EF"/>
    <w:rsid w:val="006A3D40"/>
    <w:rsid w:val="006A3DDF"/>
    <w:rsid w:val="006A3E48"/>
    <w:rsid w:val="006A40CE"/>
    <w:rsid w:val="006A42ED"/>
    <w:rsid w:val="006A5236"/>
    <w:rsid w:val="006A7007"/>
    <w:rsid w:val="006A78B6"/>
    <w:rsid w:val="006A7B2C"/>
    <w:rsid w:val="006B03DE"/>
    <w:rsid w:val="006B06FB"/>
    <w:rsid w:val="006B0D92"/>
    <w:rsid w:val="006B1E25"/>
    <w:rsid w:val="006B203B"/>
    <w:rsid w:val="006B253E"/>
    <w:rsid w:val="006B29AE"/>
    <w:rsid w:val="006B2C15"/>
    <w:rsid w:val="006B33A4"/>
    <w:rsid w:val="006B45BF"/>
    <w:rsid w:val="006B466C"/>
    <w:rsid w:val="006B49EC"/>
    <w:rsid w:val="006B529B"/>
    <w:rsid w:val="006B5314"/>
    <w:rsid w:val="006B59BC"/>
    <w:rsid w:val="006B5B10"/>
    <w:rsid w:val="006B5C49"/>
    <w:rsid w:val="006B5F28"/>
    <w:rsid w:val="006B6309"/>
    <w:rsid w:val="006B6AEF"/>
    <w:rsid w:val="006B6BF0"/>
    <w:rsid w:val="006B6DA6"/>
    <w:rsid w:val="006B6F7E"/>
    <w:rsid w:val="006B7EDA"/>
    <w:rsid w:val="006B7F48"/>
    <w:rsid w:val="006C02BA"/>
    <w:rsid w:val="006C0E96"/>
    <w:rsid w:val="006C0F0C"/>
    <w:rsid w:val="006C0FD2"/>
    <w:rsid w:val="006C1CF5"/>
    <w:rsid w:val="006C226E"/>
    <w:rsid w:val="006C2A3A"/>
    <w:rsid w:val="006C2E61"/>
    <w:rsid w:val="006C2FB2"/>
    <w:rsid w:val="006C386F"/>
    <w:rsid w:val="006C3ABC"/>
    <w:rsid w:val="006C4095"/>
    <w:rsid w:val="006C4AF6"/>
    <w:rsid w:val="006C5791"/>
    <w:rsid w:val="006C5B23"/>
    <w:rsid w:val="006C5E35"/>
    <w:rsid w:val="006C5F93"/>
    <w:rsid w:val="006C6EB7"/>
    <w:rsid w:val="006C7C30"/>
    <w:rsid w:val="006C7C45"/>
    <w:rsid w:val="006C7C6C"/>
    <w:rsid w:val="006D1EE8"/>
    <w:rsid w:val="006D232D"/>
    <w:rsid w:val="006D28CB"/>
    <w:rsid w:val="006D28D1"/>
    <w:rsid w:val="006D2FCB"/>
    <w:rsid w:val="006D3DC0"/>
    <w:rsid w:val="006D4585"/>
    <w:rsid w:val="006D4A6A"/>
    <w:rsid w:val="006D4A8D"/>
    <w:rsid w:val="006D5155"/>
    <w:rsid w:val="006D558F"/>
    <w:rsid w:val="006D6133"/>
    <w:rsid w:val="006D651D"/>
    <w:rsid w:val="006D6590"/>
    <w:rsid w:val="006D671A"/>
    <w:rsid w:val="006D70C4"/>
    <w:rsid w:val="006D7159"/>
    <w:rsid w:val="006D71AE"/>
    <w:rsid w:val="006D7368"/>
    <w:rsid w:val="006D77A2"/>
    <w:rsid w:val="006D7813"/>
    <w:rsid w:val="006E0093"/>
    <w:rsid w:val="006E00D2"/>
    <w:rsid w:val="006E0368"/>
    <w:rsid w:val="006E06E0"/>
    <w:rsid w:val="006E06E4"/>
    <w:rsid w:val="006E229D"/>
    <w:rsid w:val="006E24EF"/>
    <w:rsid w:val="006E2F04"/>
    <w:rsid w:val="006E32FF"/>
    <w:rsid w:val="006E389F"/>
    <w:rsid w:val="006E461B"/>
    <w:rsid w:val="006E47F6"/>
    <w:rsid w:val="006E49A2"/>
    <w:rsid w:val="006E580B"/>
    <w:rsid w:val="006E5D91"/>
    <w:rsid w:val="006E6F50"/>
    <w:rsid w:val="006F0B4D"/>
    <w:rsid w:val="006F0DCD"/>
    <w:rsid w:val="006F1913"/>
    <w:rsid w:val="006F2A2E"/>
    <w:rsid w:val="006F2B71"/>
    <w:rsid w:val="006F2DC6"/>
    <w:rsid w:val="006F306B"/>
    <w:rsid w:val="006F4745"/>
    <w:rsid w:val="006F4795"/>
    <w:rsid w:val="006F4DDF"/>
    <w:rsid w:val="006F5137"/>
    <w:rsid w:val="006F51A4"/>
    <w:rsid w:val="006F5747"/>
    <w:rsid w:val="006F5851"/>
    <w:rsid w:val="006F5AD2"/>
    <w:rsid w:val="006F5B61"/>
    <w:rsid w:val="006F656E"/>
    <w:rsid w:val="006F6D5D"/>
    <w:rsid w:val="006F7068"/>
    <w:rsid w:val="006F73AD"/>
    <w:rsid w:val="006F7CFC"/>
    <w:rsid w:val="00700E10"/>
    <w:rsid w:val="00701248"/>
    <w:rsid w:val="00701536"/>
    <w:rsid w:val="00702138"/>
    <w:rsid w:val="007029B6"/>
    <w:rsid w:val="00703FD2"/>
    <w:rsid w:val="0070400F"/>
    <w:rsid w:val="00704279"/>
    <w:rsid w:val="00704A15"/>
    <w:rsid w:val="0070537A"/>
    <w:rsid w:val="00705B01"/>
    <w:rsid w:val="00705F6E"/>
    <w:rsid w:val="0070601E"/>
    <w:rsid w:val="007063D1"/>
    <w:rsid w:val="00706676"/>
    <w:rsid w:val="00706F05"/>
    <w:rsid w:val="00706FCC"/>
    <w:rsid w:val="00707152"/>
    <w:rsid w:val="00707A9B"/>
    <w:rsid w:val="00707DBD"/>
    <w:rsid w:val="0071035C"/>
    <w:rsid w:val="007110F2"/>
    <w:rsid w:val="00711257"/>
    <w:rsid w:val="00711A19"/>
    <w:rsid w:val="00712238"/>
    <w:rsid w:val="00712798"/>
    <w:rsid w:val="00712FC7"/>
    <w:rsid w:val="00713B46"/>
    <w:rsid w:val="00713D30"/>
    <w:rsid w:val="0071407B"/>
    <w:rsid w:val="00714AA9"/>
    <w:rsid w:val="007152F8"/>
    <w:rsid w:val="0071573E"/>
    <w:rsid w:val="00715A50"/>
    <w:rsid w:val="00715D41"/>
    <w:rsid w:val="00716CDE"/>
    <w:rsid w:val="00717241"/>
    <w:rsid w:val="00717DE3"/>
    <w:rsid w:val="00717E9A"/>
    <w:rsid w:val="00720591"/>
    <w:rsid w:val="00720876"/>
    <w:rsid w:val="00720CE2"/>
    <w:rsid w:val="00721757"/>
    <w:rsid w:val="00722193"/>
    <w:rsid w:val="00722527"/>
    <w:rsid w:val="00722FA6"/>
    <w:rsid w:val="00723402"/>
    <w:rsid w:val="00723E91"/>
    <w:rsid w:val="00724F58"/>
    <w:rsid w:val="00725343"/>
    <w:rsid w:val="00725CDF"/>
    <w:rsid w:val="00726420"/>
    <w:rsid w:val="007264A6"/>
    <w:rsid w:val="00726F97"/>
    <w:rsid w:val="00727031"/>
    <w:rsid w:val="00730ACE"/>
    <w:rsid w:val="00730EB7"/>
    <w:rsid w:val="0073247B"/>
    <w:rsid w:val="007325B4"/>
    <w:rsid w:val="00732EF1"/>
    <w:rsid w:val="0073308C"/>
    <w:rsid w:val="00733328"/>
    <w:rsid w:val="00733389"/>
    <w:rsid w:val="00733863"/>
    <w:rsid w:val="00733B0F"/>
    <w:rsid w:val="00733B49"/>
    <w:rsid w:val="007345DE"/>
    <w:rsid w:val="00734739"/>
    <w:rsid w:val="00734BDF"/>
    <w:rsid w:val="0073558F"/>
    <w:rsid w:val="00735FFA"/>
    <w:rsid w:val="0073646D"/>
    <w:rsid w:val="0073674F"/>
    <w:rsid w:val="007367EB"/>
    <w:rsid w:val="00736963"/>
    <w:rsid w:val="00736B60"/>
    <w:rsid w:val="00736E41"/>
    <w:rsid w:val="00737B6C"/>
    <w:rsid w:val="007400FA"/>
    <w:rsid w:val="007404BF"/>
    <w:rsid w:val="007411A5"/>
    <w:rsid w:val="00741243"/>
    <w:rsid w:val="007428D2"/>
    <w:rsid w:val="007437A4"/>
    <w:rsid w:val="007437BE"/>
    <w:rsid w:val="007448F5"/>
    <w:rsid w:val="007459EF"/>
    <w:rsid w:val="007463C9"/>
    <w:rsid w:val="00746BF9"/>
    <w:rsid w:val="007475A2"/>
    <w:rsid w:val="00747604"/>
    <w:rsid w:val="007478DA"/>
    <w:rsid w:val="007512B1"/>
    <w:rsid w:val="0075183C"/>
    <w:rsid w:val="00752607"/>
    <w:rsid w:val="007528F0"/>
    <w:rsid w:val="007536F0"/>
    <w:rsid w:val="007537A9"/>
    <w:rsid w:val="00753CD6"/>
    <w:rsid w:val="0075404E"/>
    <w:rsid w:val="007541B3"/>
    <w:rsid w:val="00754533"/>
    <w:rsid w:val="0075470A"/>
    <w:rsid w:val="00754B7B"/>
    <w:rsid w:val="007553F6"/>
    <w:rsid w:val="00755830"/>
    <w:rsid w:val="00756A0C"/>
    <w:rsid w:val="00757021"/>
    <w:rsid w:val="007572F7"/>
    <w:rsid w:val="00757546"/>
    <w:rsid w:val="007575B0"/>
    <w:rsid w:val="0075772C"/>
    <w:rsid w:val="00760A4F"/>
    <w:rsid w:val="00760D76"/>
    <w:rsid w:val="00761651"/>
    <w:rsid w:val="007617F4"/>
    <w:rsid w:val="00762024"/>
    <w:rsid w:val="00762C43"/>
    <w:rsid w:val="00763219"/>
    <w:rsid w:val="007639AB"/>
    <w:rsid w:val="00763D0B"/>
    <w:rsid w:val="00763F6E"/>
    <w:rsid w:val="007641B4"/>
    <w:rsid w:val="007646AA"/>
    <w:rsid w:val="00764731"/>
    <w:rsid w:val="0076502A"/>
    <w:rsid w:val="00765327"/>
    <w:rsid w:val="0076641B"/>
    <w:rsid w:val="00766A79"/>
    <w:rsid w:val="00767009"/>
    <w:rsid w:val="0076727E"/>
    <w:rsid w:val="00770FE2"/>
    <w:rsid w:val="00772428"/>
    <w:rsid w:val="0077266D"/>
    <w:rsid w:val="00772AE7"/>
    <w:rsid w:val="00772DE0"/>
    <w:rsid w:val="00773B82"/>
    <w:rsid w:val="00774C2C"/>
    <w:rsid w:val="00775373"/>
    <w:rsid w:val="0077546B"/>
    <w:rsid w:val="00775E18"/>
    <w:rsid w:val="00776CF6"/>
    <w:rsid w:val="00777038"/>
    <w:rsid w:val="007776F2"/>
    <w:rsid w:val="00777F83"/>
    <w:rsid w:val="00780986"/>
    <w:rsid w:val="007825B0"/>
    <w:rsid w:val="00782861"/>
    <w:rsid w:val="00782B99"/>
    <w:rsid w:val="00783D21"/>
    <w:rsid w:val="00783EF9"/>
    <w:rsid w:val="007840C7"/>
    <w:rsid w:val="00784763"/>
    <w:rsid w:val="00784C20"/>
    <w:rsid w:val="00784E1F"/>
    <w:rsid w:val="00785359"/>
    <w:rsid w:val="00786911"/>
    <w:rsid w:val="0078737B"/>
    <w:rsid w:val="00787805"/>
    <w:rsid w:val="00790504"/>
    <w:rsid w:val="0079064F"/>
    <w:rsid w:val="00790758"/>
    <w:rsid w:val="0079076F"/>
    <w:rsid w:val="00791207"/>
    <w:rsid w:val="0079167E"/>
    <w:rsid w:val="00791A0B"/>
    <w:rsid w:val="00792995"/>
    <w:rsid w:val="007938D8"/>
    <w:rsid w:val="0079416B"/>
    <w:rsid w:val="007942E5"/>
    <w:rsid w:val="007942EE"/>
    <w:rsid w:val="0079565C"/>
    <w:rsid w:val="00795C9B"/>
    <w:rsid w:val="00795DA0"/>
    <w:rsid w:val="00796253"/>
    <w:rsid w:val="00796708"/>
    <w:rsid w:val="00796C0D"/>
    <w:rsid w:val="00797411"/>
    <w:rsid w:val="007A02B3"/>
    <w:rsid w:val="007A170A"/>
    <w:rsid w:val="007A2253"/>
    <w:rsid w:val="007A3D91"/>
    <w:rsid w:val="007A541E"/>
    <w:rsid w:val="007A54EB"/>
    <w:rsid w:val="007A57D3"/>
    <w:rsid w:val="007A5B0D"/>
    <w:rsid w:val="007A63AE"/>
    <w:rsid w:val="007A6941"/>
    <w:rsid w:val="007A6B31"/>
    <w:rsid w:val="007A7563"/>
    <w:rsid w:val="007A7636"/>
    <w:rsid w:val="007B1085"/>
    <w:rsid w:val="007B142C"/>
    <w:rsid w:val="007B1FCC"/>
    <w:rsid w:val="007B2395"/>
    <w:rsid w:val="007B2C56"/>
    <w:rsid w:val="007B34A2"/>
    <w:rsid w:val="007B35B0"/>
    <w:rsid w:val="007B48AE"/>
    <w:rsid w:val="007B5C40"/>
    <w:rsid w:val="007B6800"/>
    <w:rsid w:val="007B6A64"/>
    <w:rsid w:val="007B6D19"/>
    <w:rsid w:val="007B6FA9"/>
    <w:rsid w:val="007B71E1"/>
    <w:rsid w:val="007B7C3B"/>
    <w:rsid w:val="007B7C6F"/>
    <w:rsid w:val="007B7DC9"/>
    <w:rsid w:val="007C10F7"/>
    <w:rsid w:val="007C127E"/>
    <w:rsid w:val="007C13BC"/>
    <w:rsid w:val="007C1A57"/>
    <w:rsid w:val="007C1A66"/>
    <w:rsid w:val="007C2311"/>
    <w:rsid w:val="007C2ADD"/>
    <w:rsid w:val="007C3208"/>
    <w:rsid w:val="007C36AA"/>
    <w:rsid w:val="007C3700"/>
    <w:rsid w:val="007C393E"/>
    <w:rsid w:val="007C5644"/>
    <w:rsid w:val="007C5E70"/>
    <w:rsid w:val="007C6542"/>
    <w:rsid w:val="007C78CB"/>
    <w:rsid w:val="007C7BE2"/>
    <w:rsid w:val="007D00C5"/>
    <w:rsid w:val="007D0358"/>
    <w:rsid w:val="007D09C1"/>
    <w:rsid w:val="007D09E3"/>
    <w:rsid w:val="007D0D1F"/>
    <w:rsid w:val="007D2448"/>
    <w:rsid w:val="007D2B35"/>
    <w:rsid w:val="007D3217"/>
    <w:rsid w:val="007D3698"/>
    <w:rsid w:val="007D3C75"/>
    <w:rsid w:val="007D5632"/>
    <w:rsid w:val="007D6422"/>
    <w:rsid w:val="007D65F4"/>
    <w:rsid w:val="007D6D42"/>
    <w:rsid w:val="007D70C4"/>
    <w:rsid w:val="007D789D"/>
    <w:rsid w:val="007E0141"/>
    <w:rsid w:val="007E06A2"/>
    <w:rsid w:val="007E1217"/>
    <w:rsid w:val="007E1CDC"/>
    <w:rsid w:val="007E34EE"/>
    <w:rsid w:val="007E413A"/>
    <w:rsid w:val="007E49C9"/>
    <w:rsid w:val="007E5207"/>
    <w:rsid w:val="007E5636"/>
    <w:rsid w:val="007E56B0"/>
    <w:rsid w:val="007E6554"/>
    <w:rsid w:val="007E6D9C"/>
    <w:rsid w:val="007E7970"/>
    <w:rsid w:val="007E7B9E"/>
    <w:rsid w:val="007E7C5D"/>
    <w:rsid w:val="007F0698"/>
    <w:rsid w:val="007F0E04"/>
    <w:rsid w:val="007F134F"/>
    <w:rsid w:val="007F18A6"/>
    <w:rsid w:val="007F2518"/>
    <w:rsid w:val="007F253A"/>
    <w:rsid w:val="007F25B3"/>
    <w:rsid w:val="007F2936"/>
    <w:rsid w:val="007F478C"/>
    <w:rsid w:val="007F4ACE"/>
    <w:rsid w:val="007F4D49"/>
    <w:rsid w:val="007F50D0"/>
    <w:rsid w:val="007F59B6"/>
    <w:rsid w:val="007F5FE2"/>
    <w:rsid w:val="007F6B4E"/>
    <w:rsid w:val="007F7161"/>
    <w:rsid w:val="007F7668"/>
    <w:rsid w:val="007F7872"/>
    <w:rsid w:val="007F78AD"/>
    <w:rsid w:val="00800BBF"/>
    <w:rsid w:val="0080340F"/>
    <w:rsid w:val="008049D1"/>
    <w:rsid w:val="00806468"/>
    <w:rsid w:val="00806C55"/>
    <w:rsid w:val="00810A70"/>
    <w:rsid w:val="00811219"/>
    <w:rsid w:val="00811335"/>
    <w:rsid w:val="008113BB"/>
    <w:rsid w:val="008122EA"/>
    <w:rsid w:val="00813069"/>
    <w:rsid w:val="0081341A"/>
    <w:rsid w:val="00814A72"/>
    <w:rsid w:val="00814F19"/>
    <w:rsid w:val="008158B8"/>
    <w:rsid w:val="00815C35"/>
    <w:rsid w:val="00815C94"/>
    <w:rsid w:val="0081720F"/>
    <w:rsid w:val="00817345"/>
    <w:rsid w:val="0081785A"/>
    <w:rsid w:val="00820310"/>
    <w:rsid w:val="00820852"/>
    <w:rsid w:val="00820A67"/>
    <w:rsid w:val="00822860"/>
    <w:rsid w:val="0082307D"/>
    <w:rsid w:val="0082368E"/>
    <w:rsid w:val="008242AE"/>
    <w:rsid w:val="008242CD"/>
    <w:rsid w:val="0082479B"/>
    <w:rsid w:val="00824809"/>
    <w:rsid w:val="00825244"/>
    <w:rsid w:val="00825A44"/>
    <w:rsid w:val="008270F1"/>
    <w:rsid w:val="00827A53"/>
    <w:rsid w:val="00827B1E"/>
    <w:rsid w:val="008309AF"/>
    <w:rsid w:val="00830DB7"/>
    <w:rsid w:val="00830EBA"/>
    <w:rsid w:val="00830FEE"/>
    <w:rsid w:val="008316A7"/>
    <w:rsid w:val="00831A66"/>
    <w:rsid w:val="00831D43"/>
    <w:rsid w:val="008323B5"/>
    <w:rsid w:val="00832468"/>
    <w:rsid w:val="008328C8"/>
    <w:rsid w:val="00832D53"/>
    <w:rsid w:val="00832E09"/>
    <w:rsid w:val="008330D6"/>
    <w:rsid w:val="00833508"/>
    <w:rsid w:val="008338A7"/>
    <w:rsid w:val="0083432F"/>
    <w:rsid w:val="00834B11"/>
    <w:rsid w:val="0083587E"/>
    <w:rsid w:val="00835C62"/>
    <w:rsid w:val="00837801"/>
    <w:rsid w:val="008401F3"/>
    <w:rsid w:val="00841214"/>
    <w:rsid w:val="00841A44"/>
    <w:rsid w:val="00841E71"/>
    <w:rsid w:val="0084212A"/>
    <w:rsid w:val="008423E0"/>
    <w:rsid w:val="00842B18"/>
    <w:rsid w:val="00842E9B"/>
    <w:rsid w:val="008432B0"/>
    <w:rsid w:val="0084355A"/>
    <w:rsid w:val="0084444F"/>
    <w:rsid w:val="0084548E"/>
    <w:rsid w:val="00845493"/>
    <w:rsid w:val="00845E3D"/>
    <w:rsid w:val="00845F72"/>
    <w:rsid w:val="008463C4"/>
    <w:rsid w:val="008468D4"/>
    <w:rsid w:val="00846A32"/>
    <w:rsid w:val="0084792E"/>
    <w:rsid w:val="00847EAF"/>
    <w:rsid w:val="008501A1"/>
    <w:rsid w:val="00850F50"/>
    <w:rsid w:val="008511A0"/>
    <w:rsid w:val="00851343"/>
    <w:rsid w:val="00852348"/>
    <w:rsid w:val="00855F67"/>
    <w:rsid w:val="00856026"/>
    <w:rsid w:val="0085614A"/>
    <w:rsid w:val="008576CA"/>
    <w:rsid w:val="00857A59"/>
    <w:rsid w:val="0086078E"/>
    <w:rsid w:val="00860A9B"/>
    <w:rsid w:val="00860E35"/>
    <w:rsid w:val="00861009"/>
    <w:rsid w:val="00861A7F"/>
    <w:rsid w:val="00861C38"/>
    <w:rsid w:val="00861F7D"/>
    <w:rsid w:val="00862273"/>
    <w:rsid w:val="00862F55"/>
    <w:rsid w:val="0086306B"/>
    <w:rsid w:val="0086355C"/>
    <w:rsid w:val="0086362A"/>
    <w:rsid w:val="00864529"/>
    <w:rsid w:val="00864576"/>
    <w:rsid w:val="00865159"/>
    <w:rsid w:val="00870628"/>
    <w:rsid w:val="00870C3C"/>
    <w:rsid w:val="008712C6"/>
    <w:rsid w:val="008718F9"/>
    <w:rsid w:val="0087227F"/>
    <w:rsid w:val="00872819"/>
    <w:rsid w:val="008729F1"/>
    <w:rsid w:val="00872C97"/>
    <w:rsid w:val="00874297"/>
    <w:rsid w:val="00874454"/>
    <w:rsid w:val="00874592"/>
    <w:rsid w:val="00874F79"/>
    <w:rsid w:val="00876A13"/>
    <w:rsid w:val="0087746B"/>
    <w:rsid w:val="0088059F"/>
    <w:rsid w:val="00881613"/>
    <w:rsid w:val="008816E2"/>
    <w:rsid w:val="00881A4D"/>
    <w:rsid w:val="008821CE"/>
    <w:rsid w:val="00882C40"/>
    <w:rsid w:val="00882D94"/>
    <w:rsid w:val="008831B3"/>
    <w:rsid w:val="008835A9"/>
    <w:rsid w:val="00883D43"/>
    <w:rsid w:val="00883FCC"/>
    <w:rsid w:val="00883FD1"/>
    <w:rsid w:val="00884017"/>
    <w:rsid w:val="00884A3B"/>
    <w:rsid w:val="00884AF2"/>
    <w:rsid w:val="0088505D"/>
    <w:rsid w:val="008856E0"/>
    <w:rsid w:val="00885D5D"/>
    <w:rsid w:val="00885F40"/>
    <w:rsid w:val="008863BA"/>
    <w:rsid w:val="008863D3"/>
    <w:rsid w:val="00886CF6"/>
    <w:rsid w:val="00887244"/>
    <w:rsid w:val="008872FC"/>
    <w:rsid w:val="00887D29"/>
    <w:rsid w:val="00887FC9"/>
    <w:rsid w:val="00891B93"/>
    <w:rsid w:val="00892C74"/>
    <w:rsid w:val="00892CC4"/>
    <w:rsid w:val="00893739"/>
    <w:rsid w:val="0089490C"/>
    <w:rsid w:val="00894A24"/>
    <w:rsid w:val="00894EA8"/>
    <w:rsid w:val="00895B7D"/>
    <w:rsid w:val="0089663C"/>
    <w:rsid w:val="008967BE"/>
    <w:rsid w:val="00896F94"/>
    <w:rsid w:val="0089710B"/>
    <w:rsid w:val="00897420"/>
    <w:rsid w:val="00897D5C"/>
    <w:rsid w:val="008A09E3"/>
    <w:rsid w:val="008A2832"/>
    <w:rsid w:val="008A5405"/>
    <w:rsid w:val="008A5970"/>
    <w:rsid w:val="008A5E63"/>
    <w:rsid w:val="008A770B"/>
    <w:rsid w:val="008A796E"/>
    <w:rsid w:val="008B04DA"/>
    <w:rsid w:val="008B0F77"/>
    <w:rsid w:val="008B14B5"/>
    <w:rsid w:val="008B2578"/>
    <w:rsid w:val="008B2C0D"/>
    <w:rsid w:val="008B2EBE"/>
    <w:rsid w:val="008B320F"/>
    <w:rsid w:val="008B3BC1"/>
    <w:rsid w:val="008B51DC"/>
    <w:rsid w:val="008B51EF"/>
    <w:rsid w:val="008B5296"/>
    <w:rsid w:val="008B60CD"/>
    <w:rsid w:val="008B617A"/>
    <w:rsid w:val="008B632F"/>
    <w:rsid w:val="008B69A1"/>
    <w:rsid w:val="008B76C1"/>
    <w:rsid w:val="008C0045"/>
    <w:rsid w:val="008C0290"/>
    <w:rsid w:val="008C05FF"/>
    <w:rsid w:val="008C06C7"/>
    <w:rsid w:val="008C0FED"/>
    <w:rsid w:val="008C1EDB"/>
    <w:rsid w:val="008C39B1"/>
    <w:rsid w:val="008C3D50"/>
    <w:rsid w:val="008C4616"/>
    <w:rsid w:val="008C47B4"/>
    <w:rsid w:val="008C48BB"/>
    <w:rsid w:val="008C4D00"/>
    <w:rsid w:val="008C542D"/>
    <w:rsid w:val="008C671D"/>
    <w:rsid w:val="008C67C0"/>
    <w:rsid w:val="008C713C"/>
    <w:rsid w:val="008C732F"/>
    <w:rsid w:val="008C756B"/>
    <w:rsid w:val="008C763D"/>
    <w:rsid w:val="008C7C4F"/>
    <w:rsid w:val="008C7E74"/>
    <w:rsid w:val="008D0134"/>
    <w:rsid w:val="008D02A3"/>
    <w:rsid w:val="008D0A8E"/>
    <w:rsid w:val="008D0D2C"/>
    <w:rsid w:val="008D16E9"/>
    <w:rsid w:val="008D3146"/>
    <w:rsid w:val="008D3548"/>
    <w:rsid w:val="008D3B0C"/>
    <w:rsid w:val="008D3B30"/>
    <w:rsid w:val="008D490B"/>
    <w:rsid w:val="008D4AB8"/>
    <w:rsid w:val="008D4D1F"/>
    <w:rsid w:val="008D603E"/>
    <w:rsid w:val="008D60F3"/>
    <w:rsid w:val="008D6512"/>
    <w:rsid w:val="008D6527"/>
    <w:rsid w:val="008E05CB"/>
    <w:rsid w:val="008E0CDF"/>
    <w:rsid w:val="008E1549"/>
    <w:rsid w:val="008E1E4D"/>
    <w:rsid w:val="008E1F71"/>
    <w:rsid w:val="008E211D"/>
    <w:rsid w:val="008E26C8"/>
    <w:rsid w:val="008E2BFC"/>
    <w:rsid w:val="008E39CF"/>
    <w:rsid w:val="008E40BA"/>
    <w:rsid w:val="008E4277"/>
    <w:rsid w:val="008E44D9"/>
    <w:rsid w:val="008E4E5D"/>
    <w:rsid w:val="008E4F0C"/>
    <w:rsid w:val="008E5093"/>
    <w:rsid w:val="008E5467"/>
    <w:rsid w:val="008E5EA6"/>
    <w:rsid w:val="008E662F"/>
    <w:rsid w:val="008E6BA7"/>
    <w:rsid w:val="008F0654"/>
    <w:rsid w:val="008F111E"/>
    <w:rsid w:val="008F1900"/>
    <w:rsid w:val="008F223D"/>
    <w:rsid w:val="008F26AE"/>
    <w:rsid w:val="008F43CA"/>
    <w:rsid w:val="008F5067"/>
    <w:rsid w:val="008F58E7"/>
    <w:rsid w:val="008F60BB"/>
    <w:rsid w:val="008F6395"/>
    <w:rsid w:val="008F65EB"/>
    <w:rsid w:val="008F676A"/>
    <w:rsid w:val="008F6C1F"/>
    <w:rsid w:val="008F742B"/>
    <w:rsid w:val="008F74C5"/>
    <w:rsid w:val="008F761B"/>
    <w:rsid w:val="008F7F5F"/>
    <w:rsid w:val="009004AD"/>
    <w:rsid w:val="009004F1"/>
    <w:rsid w:val="00901398"/>
    <w:rsid w:val="00901F9B"/>
    <w:rsid w:val="00901FFE"/>
    <w:rsid w:val="00902836"/>
    <w:rsid w:val="00902EA5"/>
    <w:rsid w:val="009032EF"/>
    <w:rsid w:val="00903480"/>
    <w:rsid w:val="00903754"/>
    <w:rsid w:val="00903CAC"/>
    <w:rsid w:val="00904486"/>
    <w:rsid w:val="00904998"/>
    <w:rsid w:val="009051C5"/>
    <w:rsid w:val="009051D4"/>
    <w:rsid w:val="009056BF"/>
    <w:rsid w:val="00905FF0"/>
    <w:rsid w:val="0090686C"/>
    <w:rsid w:val="00906B56"/>
    <w:rsid w:val="00907146"/>
    <w:rsid w:val="00907199"/>
    <w:rsid w:val="00911782"/>
    <w:rsid w:val="009125F9"/>
    <w:rsid w:val="00913218"/>
    <w:rsid w:val="0091366B"/>
    <w:rsid w:val="00914191"/>
    <w:rsid w:val="009148D4"/>
    <w:rsid w:val="00914ADE"/>
    <w:rsid w:val="00915430"/>
    <w:rsid w:val="00915584"/>
    <w:rsid w:val="00915C3B"/>
    <w:rsid w:val="009167BB"/>
    <w:rsid w:val="0091692A"/>
    <w:rsid w:val="0091697A"/>
    <w:rsid w:val="00917634"/>
    <w:rsid w:val="00917CAB"/>
    <w:rsid w:val="009209CE"/>
    <w:rsid w:val="00920E61"/>
    <w:rsid w:val="00921488"/>
    <w:rsid w:val="00921510"/>
    <w:rsid w:val="00921B69"/>
    <w:rsid w:val="00921EF1"/>
    <w:rsid w:val="00921FC4"/>
    <w:rsid w:val="00922345"/>
    <w:rsid w:val="00923593"/>
    <w:rsid w:val="00923672"/>
    <w:rsid w:val="00923A4F"/>
    <w:rsid w:val="00923EF1"/>
    <w:rsid w:val="00923F41"/>
    <w:rsid w:val="00924393"/>
    <w:rsid w:val="0092457D"/>
    <w:rsid w:val="00924888"/>
    <w:rsid w:val="00924CCE"/>
    <w:rsid w:val="00924F6D"/>
    <w:rsid w:val="00925E31"/>
    <w:rsid w:val="00926A27"/>
    <w:rsid w:val="00926A7B"/>
    <w:rsid w:val="00926B15"/>
    <w:rsid w:val="0092710F"/>
    <w:rsid w:val="00927A65"/>
    <w:rsid w:val="009306D4"/>
    <w:rsid w:val="00930702"/>
    <w:rsid w:val="009308A0"/>
    <w:rsid w:val="00930DEF"/>
    <w:rsid w:val="0093175D"/>
    <w:rsid w:val="009327B3"/>
    <w:rsid w:val="0093296A"/>
    <w:rsid w:val="00932F56"/>
    <w:rsid w:val="00933017"/>
    <w:rsid w:val="00933459"/>
    <w:rsid w:val="00933C3C"/>
    <w:rsid w:val="0093498E"/>
    <w:rsid w:val="009349C6"/>
    <w:rsid w:val="00934F15"/>
    <w:rsid w:val="00936087"/>
    <w:rsid w:val="009360C3"/>
    <w:rsid w:val="009362C2"/>
    <w:rsid w:val="00936516"/>
    <w:rsid w:val="0093669E"/>
    <w:rsid w:val="00936DA8"/>
    <w:rsid w:val="009405C8"/>
    <w:rsid w:val="00940810"/>
    <w:rsid w:val="00941006"/>
    <w:rsid w:val="0094110E"/>
    <w:rsid w:val="009413B4"/>
    <w:rsid w:val="009423B2"/>
    <w:rsid w:val="00942A61"/>
    <w:rsid w:val="00944005"/>
    <w:rsid w:val="009442F6"/>
    <w:rsid w:val="00944A19"/>
    <w:rsid w:val="00945468"/>
    <w:rsid w:val="00945717"/>
    <w:rsid w:val="0094574F"/>
    <w:rsid w:val="00945CA4"/>
    <w:rsid w:val="00947E83"/>
    <w:rsid w:val="00950083"/>
    <w:rsid w:val="00950AC2"/>
    <w:rsid w:val="00950B8F"/>
    <w:rsid w:val="00951270"/>
    <w:rsid w:val="00951BA0"/>
    <w:rsid w:val="009522E1"/>
    <w:rsid w:val="0095289F"/>
    <w:rsid w:val="00952F21"/>
    <w:rsid w:val="00953664"/>
    <w:rsid w:val="009539F2"/>
    <w:rsid w:val="00953D59"/>
    <w:rsid w:val="00953E5E"/>
    <w:rsid w:val="00954411"/>
    <w:rsid w:val="00954984"/>
    <w:rsid w:val="00954EFA"/>
    <w:rsid w:val="0095542A"/>
    <w:rsid w:val="0095558E"/>
    <w:rsid w:val="0095574B"/>
    <w:rsid w:val="00956445"/>
    <w:rsid w:val="009565B4"/>
    <w:rsid w:val="00956C8A"/>
    <w:rsid w:val="00957E6B"/>
    <w:rsid w:val="009602D3"/>
    <w:rsid w:val="00961A49"/>
    <w:rsid w:val="00961DF5"/>
    <w:rsid w:val="00962FA0"/>
    <w:rsid w:val="00963816"/>
    <w:rsid w:val="009638B7"/>
    <w:rsid w:val="00963C4D"/>
    <w:rsid w:val="00964E56"/>
    <w:rsid w:val="0096573E"/>
    <w:rsid w:val="009660B5"/>
    <w:rsid w:val="00966C5F"/>
    <w:rsid w:val="00966D93"/>
    <w:rsid w:val="00966EFD"/>
    <w:rsid w:val="00967226"/>
    <w:rsid w:val="00967279"/>
    <w:rsid w:val="00967DAD"/>
    <w:rsid w:val="00970983"/>
    <w:rsid w:val="00970A50"/>
    <w:rsid w:val="00971541"/>
    <w:rsid w:val="00972039"/>
    <w:rsid w:val="00972AFB"/>
    <w:rsid w:val="009737F3"/>
    <w:rsid w:val="0097411D"/>
    <w:rsid w:val="009743B3"/>
    <w:rsid w:val="00974820"/>
    <w:rsid w:val="00974972"/>
    <w:rsid w:val="0097578C"/>
    <w:rsid w:val="00975C83"/>
    <w:rsid w:val="00975ED4"/>
    <w:rsid w:val="0097610D"/>
    <w:rsid w:val="009772F1"/>
    <w:rsid w:val="00977ACF"/>
    <w:rsid w:val="00980882"/>
    <w:rsid w:val="00981687"/>
    <w:rsid w:val="00981E8D"/>
    <w:rsid w:val="00982394"/>
    <w:rsid w:val="009833EE"/>
    <w:rsid w:val="00983466"/>
    <w:rsid w:val="00983541"/>
    <w:rsid w:val="00984F62"/>
    <w:rsid w:val="009855CB"/>
    <w:rsid w:val="009856BC"/>
    <w:rsid w:val="0098713B"/>
    <w:rsid w:val="00987291"/>
    <w:rsid w:val="009874D7"/>
    <w:rsid w:val="00987A1D"/>
    <w:rsid w:val="00987D47"/>
    <w:rsid w:val="00987EEF"/>
    <w:rsid w:val="009908A4"/>
    <w:rsid w:val="0099145C"/>
    <w:rsid w:val="009922D1"/>
    <w:rsid w:val="0099241B"/>
    <w:rsid w:val="00992B42"/>
    <w:rsid w:val="00992CAF"/>
    <w:rsid w:val="0099369C"/>
    <w:rsid w:val="00993ECD"/>
    <w:rsid w:val="0099461E"/>
    <w:rsid w:val="00995B53"/>
    <w:rsid w:val="00995F4C"/>
    <w:rsid w:val="009960E3"/>
    <w:rsid w:val="00997956"/>
    <w:rsid w:val="009A2537"/>
    <w:rsid w:val="009A2C6F"/>
    <w:rsid w:val="009A3498"/>
    <w:rsid w:val="009A6E9D"/>
    <w:rsid w:val="009A6F17"/>
    <w:rsid w:val="009A7A75"/>
    <w:rsid w:val="009B05CE"/>
    <w:rsid w:val="009B17AC"/>
    <w:rsid w:val="009B2CFF"/>
    <w:rsid w:val="009B30B8"/>
    <w:rsid w:val="009B326C"/>
    <w:rsid w:val="009B368B"/>
    <w:rsid w:val="009B38AE"/>
    <w:rsid w:val="009B4449"/>
    <w:rsid w:val="009B4D36"/>
    <w:rsid w:val="009B54EE"/>
    <w:rsid w:val="009B659C"/>
    <w:rsid w:val="009B6DCE"/>
    <w:rsid w:val="009B6E08"/>
    <w:rsid w:val="009B77B2"/>
    <w:rsid w:val="009B79BD"/>
    <w:rsid w:val="009B7DBC"/>
    <w:rsid w:val="009C0279"/>
    <w:rsid w:val="009C1E97"/>
    <w:rsid w:val="009C34AC"/>
    <w:rsid w:val="009C43FB"/>
    <w:rsid w:val="009C5384"/>
    <w:rsid w:val="009C5853"/>
    <w:rsid w:val="009C61CB"/>
    <w:rsid w:val="009C6319"/>
    <w:rsid w:val="009C6439"/>
    <w:rsid w:val="009C6924"/>
    <w:rsid w:val="009C6C0E"/>
    <w:rsid w:val="009D00FD"/>
    <w:rsid w:val="009D22A3"/>
    <w:rsid w:val="009D22B2"/>
    <w:rsid w:val="009D436A"/>
    <w:rsid w:val="009D4EBC"/>
    <w:rsid w:val="009D63B2"/>
    <w:rsid w:val="009D750F"/>
    <w:rsid w:val="009D77BE"/>
    <w:rsid w:val="009D79B0"/>
    <w:rsid w:val="009D79BC"/>
    <w:rsid w:val="009E0271"/>
    <w:rsid w:val="009E0FA4"/>
    <w:rsid w:val="009E1064"/>
    <w:rsid w:val="009E1109"/>
    <w:rsid w:val="009E21A3"/>
    <w:rsid w:val="009E231A"/>
    <w:rsid w:val="009E2960"/>
    <w:rsid w:val="009E32A3"/>
    <w:rsid w:val="009E34C8"/>
    <w:rsid w:val="009E3AD2"/>
    <w:rsid w:val="009E499D"/>
    <w:rsid w:val="009E4D19"/>
    <w:rsid w:val="009E6399"/>
    <w:rsid w:val="009E6984"/>
    <w:rsid w:val="009E6EFE"/>
    <w:rsid w:val="009E777C"/>
    <w:rsid w:val="009E7856"/>
    <w:rsid w:val="009E79E4"/>
    <w:rsid w:val="009F0463"/>
    <w:rsid w:val="009F07B3"/>
    <w:rsid w:val="009F1B2E"/>
    <w:rsid w:val="009F231E"/>
    <w:rsid w:val="009F2C92"/>
    <w:rsid w:val="009F2CC3"/>
    <w:rsid w:val="009F2E15"/>
    <w:rsid w:val="009F32D2"/>
    <w:rsid w:val="009F340B"/>
    <w:rsid w:val="009F3F43"/>
    <w:rsid w:val="009F4191"/>
    <w:rsid w:val="009F4218"/>
    <w:rsid w:val="009F5759"/>
    <w:rsid w:val="009F5C10"/>
    <w:rsid w:val="009F5E57"/>
    <w:rsid w:val="009F6FEB"/>
    <w:rsid w:val="009F71A3"/>
    <w:rsid w:val="009F778B"/>
    <w:rsid w:val="00A00006"/>
    <w:rsid w:val="00A00909"/>
    <w:rsid w:val="00A00F09"/>
    <w:rsid w:val="00A01031"/>
    <w:rsid w:val="00A0186B"/>
    <w:rsid w:val="00A02354"/>
    <w:rsid w:val="00A028CD"/>
    <w:rsid w:val="00A0303A"/>
    <w:rsid w:val="00A03C72"/>
    <w:rsid w:val="00A03DED"/>
    <w:rsid w:val="00A04142"/>
    <w:rsid w:val="00A052B2"/>
    <w:rsid w:val="00A060D6"/>
    <w:rsid w:val="00A06484"/>
    <w:rsid w:val="00A064DD"/>
    <w:rsid w:val="00A06EAC"/>
    <w:rsid w:val="00A06FD8"/>
    <w:rsid w:val="00A07B92"/>
    <w:rsid w:val="00A1033C"/>
    <w:rsid w:val="00A1056E"/>
    <w:rsid w:val="00A10611"/>
    <w:rsid w:val="00A10F97"/>
    <w:rsid w:val="00A1102C"/>
    <w:rsid w:val="00A1104B"/>
    <w:rsid w:val="00A119FA"/>
    <w:rsid w:val="00A11CBB"/>
    <w:rsid w:val="00A1252B"/>
    <w:rsid w:val="00A125E8"/>
    <w:rsid w:val="00A14C52"/>
    <w:rsid w:val="00A14FD0"/>
    <w:rsid w:val="00A15442"/>
    <w:rsid w:val="00A15621"/>
    <w:rsid w:val="00A15622"/>
    <w:rsid w:val="00A15AF5"/>
    <w:rsid w:val="00A15B86"/>
    <w:rsid w:val="00A166ED"/>
    <w:rsid w:val="00A2026E"/>
    <w:rsid w:val="00A218C0"/>
    <w:rsid w:val="00A2205B"/>
    <w:rsid w:val="00A229C9"/>
    <w:rsid w:val="00A22D23"/>
    <w:rsid w:val="00A22F38"/>
    <w:rsid w:val="00A2309F"/>
    <w:rsid w:val="00A237D1"/>
    <w:rsid w:val="00A24A8B"/>
    <w:rsid w:val="00A24BB8"/>
    <w:rsid w:val="00A24FF5"/>
    <w:rsid w:val="00A263BB"/>
    <w:rsid w:val="00A26FC1"/>
    <w:rsid w:val="00A272AB"/>
    <w:rsid w:val="00A27479"/>
    <w:rsid w:val="00A27CF6"/>
    <w:rsid w:val="00A27D10"/>
    <w:rsid w:val="00A27E2D"/>
    <w:rsid w:val="00A303AC"/>
    <w:rsid w:val="00A30565"/>
    <w:rsid w:val="00A30597"/>
    <w:rsid w:val="00A30603"/>
    <w:rsid w:val="00A30960"/>
    <w:rsid w:val="00A30B06"/>
    <w:rsid w:val="00A3105D"/>
    <w:rsid w:val="00A31D1D"/>
    <w:rsid w:val="00A3269B"/>
    <w:rsid w:val="00A330D2"/>
    <w:rsid w:val="00A337B7"/>
    <w:rsid w:val="00A340D6"/>
    <w:rsid w:val="00A3468F"/>
    <w:rsid w:val="00A347CC"/>
    <w:rsid w:val="00A3555A"/>
    <w:rsid w:val="00A35597"/>
    <w:rsid w:val="00A35D28"/>
    <w:rsid w:val="00A35DFE"/>
    <w:rsid w:val="00A36D4E"/>
    <w:rsid w:val="00A3730A"/>
    <w:rsid w:val="00A37376"/>
    <w:rsid w:val="00A417B4"/>
    <w:rsid w:val="00A41A30"/>
    <w:rsid w:val="00A41C5E"/>
    <w:rsid w:val="00A421BF"/>
    <w:rsid w:val="00A42F93"/>
    <w:rsid w:val="00A430F5"/>
    <w:rsid w:val="00A4329C"/>
    <w:rsid w:val="00A434CE"/>
    <w:rsid w:val="00A43B0B"/>
    <w:rsid w:val="00A44345"/>
    <w:rsid w:val="00A44A8D"/>
    <w:rsid w:val="00A44DC4"/>
    <w:rsid w:val="00A44F3A"/>
    <w:rsid w:val="00A453AD"/>
    <w:rsid w:val="00A45405"/>
    <w:rsid w:val="00A45DFD"/>
    <w:rsid w:val="00A4708F"/>
    <w:rsid w:val="00A47C3D"/>
    <w:rsid w:val="00A50794"/>
    <w:rsid w:val="00A50BB0"/>
    <w:rsid w:val="00A51625"/>
    <w:rsid w:val="00A523D3"/>
    <w:rsid w:val="00A52701"/>
    <w:rsid w:val="00A5342C"/>
    <w:rsid w:val="00A548EA"/>
    <w:rsid w:val="00A54AEC"/>
    <w:rsid w:val="00A5564F"/>
    <w:rsid w:val="00A565E3"/>
    <w:rsid w:val="00A56F8A"/>
    <w:rsid w:val="00A5795A"/>
    <w:rsid w:val="00A57B22"/>
    <w:rsid w:val="00A57C26"/>
    <w:rsid w:val="00A60814"/>
    <w:rsid w:val="00A608C9"/>
    <w:rsid w:val="00A60E6D"/>
    <w:rsid w:val="00A61A76"/>
    <w:rsid w:val="00A62258"/>
    <w:rsid w:val="00A6228D"/>
    <w:rsid w:val="00A62311"/>
    <w:rsid w:val="00A635CD"/>
    <w:rsid w:val="00A63A14"/>
    <w:rsid w:val="00A63D0C"/>
    <w:rsid w:val="00A64057"/>
    <w:rsid w:val="00A645AA"/>
    <w:rsid w:val="00A6518E"/>
    <w:rsid w:val="00A6550A"/>
    <w:rsid w:val="00A65B13"/>
    <w:rsid w:val="00A6623A"/>
    <w:rsid w:val="00A669C7"/>
    <w:rsid w:val="00A66FC0"/>
    <w:rsid w:val="00A670DA"/>
    <w:rsid w:val="00A67691"/>
    <w:rsid w:val="00A70B09"/>
    <w:rsid w:val="00A70CCD"/>
    <w:rsid w:val="00A71575"/>
    <w:rsid w:val="00A716B0"/>
    <w:rsid w:val="00A71DDC"/>
    <w:rsid w:val="00A7246A"/>
    <w:rsid w:val="00A72E48"/>
    <w:rsid w:val="00A737E6"/>
    <w:rsid w:val="00A7390F"/>
    <w:rsid w:val="00A73BEB"/>
    <w:rsid w:val="00A746DE"/>
    <w:rsid w:val="00A74EB3"/>
    <w:rsid w:val="00A758D0"/>
    <w:rsid w:val="00A75E43"/>
    <w:rsid w:val="00A7656D"/>
    <w:rsid w:val="00A769DC"/>
    <w:rsid w:val="00A76F46"/>
    <w:rsid w:val="00A77150"/>
    <w:rsid w:val="00A804C6"/>
    <w:rsid w:val="00A80DD0"/>
    <w:rsid w:val="00A812A3"/>
    <w:rsid w:val="00A818AE"/>
    <w:rsid w:val="00A81A83"/>
    <w:rsid w:val="00A81E5B"/>
    <w:rsid w:val="00A82A77"/>
    <w:rsid w:val="00A83094"/>
    <w:rsid w:val="00A830F2"/>
    <w:rsid w:val="00A83ADF"/>
    <w:rsid w:val="00A83DD0"/>
    <w:rsid w:val="00A83E24"/>
    <w:rsid w:val="00A84185"/>
    <w:rsid w:val="00A85CDF"/>
    <w:rsid w:val="00A85D07"/>
    <w:rsid w:val="00A85FD1"/>
    <w:rsid w:val="00A86572"/>
    <w:rsid w:val="00A869C3"/>
    <w:rsid w:val="00A87420"/>
    <w:rsid w:val="00A90708"/>
    <w:rsid w:val="00A90F2A"/>
    <w:rsid w:val="00A91275"/>
    <w:rsid w:val="00A913FB"/>
    <w:rsid w:val="00A915FB"/>
    <w:rsid w:val="00A92945"/>
    <w:rsid w:val="00A92F94"/>
    <w:rsid w:val="00A93D72"/>
    <w:rsid w:val="00A946A9"/>
    <w:rsid w:val="00A957B4"/>
    <w:rsid w:val="00A95F43"/>
    <w:rsid w:val="00A964C2"/>
    <w:rsid w:val="00A9747A"/>
    <w:rsid w:val="00AA003D"/>
    <w:rsid w:val="00AA14B8"/>
    <w:rsid w:val="00AA201B"/>
    <w:rsid w:val="00AA2586"/>
    <w:rsid w:val="00AA37E3"/>
    <w:rsid w:val="00AA4458"/>
    <w:rsid w:val="00AA49A0"/>
    <w:rsid w:val="00AA4A29"/>
    <w:rsid w:val="00AA579F"/>
    <w:rsid w:val="00AA5999"/>
    <w:rsid w:val="00AA7684"/>
    <w:rsid w:val="00AA7F6A"/>
    <w:rsid w:val="00AB0264"/>
    <w:rsid w:val="00AB0607"/>
    <w:rsid w:val="00AB062D"/>
    <w:rsid w:val="00AB0645"/>
    <w:rsid w:val="00AB0668"/>
    <w:rsid w:val="00AB0A8B"/>
    <w:rsid w:val="00AB10AD"/>
    <w:rsid w:val="00AB15E3"/>
    <w:rsid w:val="00AB285B"/>
    <w:rsid w:val="00AB2E03"/>
    <w:rsid w:val="00AB441C"/>
    <w:rsid w:val="00AB49D4"/>
    <w:rsid w:val="00AB613D"/>
    <w:rsid w:val="00AB65AC"/>
    <w:rsid w:val="00AB6B32"/>
    <w:rsid w:val="00AB7781"/>
    <w:rsid w:val="00AB7B78"/>
    <w:rsid w:val="00AB7CEF"/>
    <w:rsid w:val="00AC075F"/>
    <w:rsid w:val="00AC17B5"/>
    <w:rsid w:val="00AC1CBD"/>
    <w:rsid w:val="00AC1D23"/>
    <w:rsid w:val="00AC258F"/>
    <w:rsid w:val="00AC2F3C"/>
    <w:rsid w:val="00AC38D2"/>
    <w:rsid w:val="00AC3951"/>
    <w:rsid w:val="00AC4383"/>
    <w:rsid w:val="00AC44B3"/>
    <w:rsid w:val="00AC46FF"/>
    <w:rsid w:val="00AC4E7B"/>
    <w:rsid w:val="00AC554A"/>
    <w:rsid w:val="00AC5E00"/>
    <w:rsid w:val="00AC6F1B"/>
    <w:rsid w:val="00AC733B"/>
    <w:rsid w:val="00AC77C5"/>
    <w:rsid w:val="00AD0DFA"/>
    <w:rsid w:val="00AD1DAF"/>
    <w:rsid w:val="00AD1E21"/>
    <w:rsid w:val="00AD3C6A"/>
    <w:rsid w:val="00AD4282"/>
    <w:rsid w:val="00AD4691"/>
    <w:rsid w:val="00AD52FE"/>
    <w:rsid w:val="00AD5430"/>
    <w:rsid w:val="00AD5EE5"/>
    <w:rsid w:val="00AD6CBF"/>
    <w:rsid w:val="00AD715E"/>
    <w:rsid w:val="00AD738F"/>
    <w:rsid w:val="00AD7663"/>
    <w:rsid w:val="00AE0AFC"/>
    <w:rsid w:val="00AE1047"/>
    <w:rsid w:val="00AE2EF0"/>
    <w:rsid w:val="00AE3901"/>
    <w:rsid w:val="00AE3D84"/>
    <w:rsid w:val="00AE525F"/>
    <w:rsid w:val="00AE6143"/>
    <w:rsid w:val="00AE69D0"/>
    <w:rsid w:val="00AF1A03"/>
    <w:rsid w:val="00AF1D77"/>
    <w:rsid w:val="00AF2B76"/>
    <w:rsid w:val="00AF34B3"/>
    <w:rsid w:val="00AF3864"/>
    <w:rsid w:val="00AF4560"/>
    <w:rsid w:val="00AF51F5"/>
    <w:rsid w:val="00AF54E5"/>
    <w:rsid w:val="00AF5A86"/>
    <w:rsid w:val="00AF703A"/>
    <w:rsid w:val="00B00F3F"/>
    <w:rsid w:val="00B0164B"/>
    <w:rsid w:val="00B0169B"/>
    <w:rsid w:val="00B022F3"/>
    <w:rsid w:val="00B034A7"/>
    <w:rsid w:val="00B03508"/>
    <w:rsid w:val="00B037E9"/>
    <w:rsid w:val="00B03FCB"/>
    <w:rsid w:val="00B04577"/>
    <w:rsid w:val="00B05249"/>
    <w:rsid w:val="00B053C8"/>
    <w:rsid w:val="00B05B10"/>
    <w:rsid w:val="00B05C79"/>
    <w:rsid w:val="00B074D8"/>
    <w:rsid w:val="00B0798F"/>
    <w:rsid w:val="00B07B4A"/>
    <w:rsid w:val="00B10BFC"/>
    <w:rsid w:val="00B10F9A"/>
    <w:rsid w:val="00B11F4B"/>
    <w:rsid w:val="00B136EA"/>
    <w:rsid w:val="00B143E8"/>
    <w:rsid w:val="00B16B7D"/>
    <w:rsid w:val="00B16E0D"/>
    <w:rsid w:val="00B17A1F"/>
    <w:rsid w:val="00B20204"/>
    <w:rsid w:val="00B2031E"/>
    <w:rsid w:val="00B203B4"/>
    <w:rsid w:val="00B20CE0"/>
    <w:rsid w:val="00B20D62"/>
    <w:rsid w:val="00B20E75"/>
    <w:rsid w:val="00B210B5"/>
    <w:rsid w:val="00B2162C"/>
    <w:rsid w:val="00B21C26"/>
    <w:rsid w:val="00B2202C"/>
    <w:rsid w:val="00B223BA"/>
    <w:rsid w:val="00B225C2"/>
    <w:rsid w:val="00B229B5"/>
    <w:rsid w:val="00B23FDE"/>
    <w:rsid w:val="00B24319"/>
    <w:rsid w:val="00B249EC"/>
    <w:rsid w:val="00B24E31"/>
    <w:rsid w:val="00B250DE"/>
    <w:rsid w:val="00B25205"/>
    <w:rsid w:val="00B25A98"/>
    <w:rsid w:val="00B2704B"/>
    <w:rsid w:val="00B27BBD"/>
    <w:rsid w:val="00B307D8"/>
    <w:rsid w:val="00B309CA"/>
    <w:rsid w:val="00B30B8C"/>
    <w:rsid w:val="00B31953"/>
    <w:rsid w:val="00B3313D"/>
    <w:rsid w:val="00B33B7A"/>
    <w:rsid w:val="00B34926"/>
    <w:rsid w:val="00B34CE6"/>
    <w:rsid w:val="00B35721"/>
    <w:rsid w:val="00B35730"/>
    <w:rsid w:val="00B35747"/>
    <w:rsid w:val="00B35DAD"/>
    <w:rsid w:val="00B36559"/>
    <w:rsid w:val="00B36925"/>
    <w:rsid w:val="00B36C95"/>
    <w:rsid w:val="00B36EAC"/>
    <w:rsid w:val="00B3734A"/>
    <w:rsid w:val="00B3765B"/>
    <w:rsid w:val="00B377CB"/>
    <w:rsid w:val="00B40C16"/>
    <w:rsid w:val="00B40E0B"/>
    <w:rsid w:val="00B40EF3"/>
    <w:rsid w:val="00B410C7"/>
    <w:rsid w:val="00B41111"/>
    <w:rsid w:val="00B41F64"/>
    <w:rsid w:val="00B42559"/>
    <w:rsid w:val="00B42DB4"/>
    <w:rsid w:val="00B42E19"/>
    <w:rsid w:val="00B4308D"/>
    <w:rsid w:val="00B43EF3"/>
    <w:rsid w:val="00B44D3D"/>
    <w:rsid w:val="00B45037"/>
    <w:rsid w:val="00B45109"/>
    <w:rsid w:val="00B472F7"/>
    <w:rsid w:val="00B47FCF"/>
    <w:rsid w:val="00B501C2"/>
    <w:rsid w:val="00B50816"/>
    <w:rsid w:val="00B5087B"/>
    <w:rsid w:val="00B51E65"/>
    <w:rsid w:val="00B53474"/>
    <w:rsid w:val="00B53DF1"/>
    <w:rsid w:val="00B54242"/>
    <w:rsid w:val="00B554C4"/>
    <w:rsid w:val="00B55EF4"/>
    <w:rsid w:val="00B5614E"/>
    <w:rsid w:val="00B562BB"/>
    <w:rsid w:val="00B571B4"/>
    <w:rsid w:val="00B577E6"/>
    <w:rsid w:val="00B57AAD"/>
    <w:rsid w:val="00B57C44"/>
    <w:rsid w:val="00B57E07"/>
    <w:rsid w:val="00B6026F"/>
    <w:rsid w:val="00B60911"/>
    <w:rsid w:val="00B60B81"/>
    <w:rsid w:val="00B61149"/>
    <w:rsid w:val="00B615F9"/>
    <w:rsid w:val="00B62C28"/>
    <w:rsid w:val="00B6315C"/>
    <w:rsid w:val="00B63D3E"/>
    <w:rsid w:val="00B63EC0"/>
    <w:rsid w:val="00B6582B"/>
    <w:rsid w:val="00B65CD8"/>
    <w:rsid w:val="00B65DBC"/>
    <w:rsid w:val="00B66896"/>
    <w:rsid w:val="00B66B3A"/>
    <w:rsid w:val="00B670F7"/>
    <w:rsid w:val="00B678E7"/>
    <w:rsid w:val="00B67A62"/>
    <w:rsid w:val="00B701ED"/>
    <w:rsid w:val="00B7045F"/>
    <w:rsid w:val="00B70502"/>
    <w:rsid w:val="00B709F3"/>
    <w:rsid w:val="00B7101C"/>
    <w:rsid w:val="00B713AB"/>
    <w:rsid w:val="00B71A32"/>
    <w:rsid w:val="00B71BEA"/>
    <w:rsid w:val="00B72A80"/>
    <w:rsid w:val="00B7329A"/>
    <w:rsid w:val="00B733BD"/>
    <w:rsid w:val="00B74633"/>
    <w:rsid w:val="00B7496F"/>
    <w:rsid w:val="00B74A2A"/>
    <w:rsid w:val="00B756E4"/>
    <w:rsid w:val="00B75D51"/>
    <w:rsid w:val="00B76085"/>
    <w:rsid w:val="00B76EFD"/>
    <w:rsid w:val="00B77121"/>
    <w:rsid w:val="00B779BD"/>
    <w:rsid w:val="00B80415"/>
    <w:rsid w:val="00B8077B"/>
    <w:rsid w:val="00B80E18"/>
    <w:rsid w:val="00B8178A"/>
    <w:rsid w:val="00B818F1"/>
    <w:rsid w:val="00B819D8"/>
    <w:rsid w:val="00B819FF"/>
    <w:rsid w:val="00B82403"/>
    <w:rsid w:val="00B83052"/>
    <w:rsid w:val="00B83EB0"/>
    <w:rsid w:val="00B84696"/>
    <w:rsid w:val="00B84B72"/>
    <w:rsid w:val="00B857CF"/>
    <w:rsid w:val="00B85CE7"/>
    <w:rsid w:val="00B90335"/>
    <w:rsid w:val="00B908EA"/>
    <w:rsid w:val="00B91729"/>
    <w:rsid w:val="00B91CCD"/>
    <w:rsid w:val="00B93147"/>
    <w:rsid w:val="00B94732"/>
    <w:rsid w:val="00B94B39"/>
    <w:rsid w:val="00B94E4D"/>
    <w:rsid w:val="00B94F8D"/>
    <w:rsid w:val="00B95238"/>
    <w:rsid w:val="00B95D62"/>
    <w:rsid w:val="00B966B4"/>
    <w:rsid w:val="00BA059C"/>
    <w:rsid w:val="00BA1627"/>
    <w:rsid w:val="00BA17B7"/>
    <w:rsid w:val="00BA1882"/>
    <w:rsid w:val="00BA2169"/>
    <w:rsid w:val="00BA31E0"/>
    <w:rsid w:val="00BA3695"/>
    <w:rsid w:val="00BA3A45"/>
    <w:rsid w:val="00BA3D01"/>
    <w:rsid w:val="00BA3E73"/>
    <w:rsid w:val="00BA4213"/>
    <w:rsid w:val="00BA4643"/>
    <w:rsid w:val="00BA6322"/>
    <w:rsid w:val="00BA6442"/>
    <w:rsid w:val="00BA64D2"/>
    <w:rsid w:val="00BB00C3"/>
    <w:rsid w:val="00BB052D"/>
    <w:rsid w:val="00BB0692"/>
    <w:rsid w:val="00BB070E"/>
    <w:rsid w:val="00BB2A22"/>
    <w:rsid w:val="00BB2D5F"/>
    <w:rsid w:val="00BB32B1"/>
    <w:rsid w:val="00BB33A9"/>
    <w:rsid w:val="00BB3658"/>
    <w:rsid w:val="00BB3890"/>
    <w:rsid w:val="00BB3C71"/>
    <w:rsid w:val="00BB4116"/>
    <w:rsid w:val="00BB438B"/>
    <w:rsid w:val="00BB4508"/>
    <w:rsid w:val="00BB57C1"/>
    <w:rsid w:val="00BB6A6C"/>
    <w:rsid w:val="00BB702B"/>
    <w:rsid w:val="00BB706D"/>
    <w:rsid w:val="00BB7B95"/>
    <w:rsid w:val="00BB7BC0"/>
    <w:rsid w:val="00BC09DF"/>
    <w:rsid w:val="00BC0B12"/>
    <w:rsid w:val="00BC2372"/>
    <w:rsid w:val="00BC242B"/>
    <w:rsid w:val="00BC252E"/>
    <w:rsid w:val="00BC38EF"/>
    <w:rsid w:val="00BC3A1B"/>
    <w:rsid w:val="00BC3B8F"/>
    <w:rsid w:val="00BC3FA9"/>
    <w:rsid w:val="00BC5E0F"/>
    <w:rsid w:val="00BC5F03"/>
    <w:rsid w:val="00BC6215"/>
    <w:rsid w:val="00BC63D8"/>
    <w:rsid w:val="00BC64B8"/>
    <w:rsid w:val="00BC7439"/>
    <w:rsid w:val="00BD0301"/>
    <w:rsid w:val="00BD09BF"/>
    <w:rsid w:val="00BD0E7C"/>
    <w:rsid w:val="00BD1D7F"/>
    <w:rsid w:val="00BD21B7"/>
    <w:rsid w:val="00BD23BC"/>
    <w:rsid w:val="00BD2969"/>
    <w:rsid w:val="00BD327F"/>
    <w:rsid w:val="00BD380B"/>
    <w:rsid w:val="00BD437B"/>
    <w:rsid w:val="00BD49AF"/>
    <w:rsid w:val="00BD5151"/>
    <w:rsid w:val="00BD52D8"/>
    <w:rsid w:val="00BD5921"/>
    <w:rsid w:val="00BD59E6"/>
    <w:rsid w:val="00BD60A7"/>
    <w:rsid w:val="00BD6943"/>
    <w:rsid w:val="00BD734B"/>
    <w:rsid w:val="00BD7634"/>
    <w:rsid w:val="00BE0FC4"/>
    <w:rsid w:val="00BE1553"/>
    <w:rsid w:val="00BE163C"/>
    <w:rsid w:val="00BE2180"/>
    <w:rsid w:val="00BE33F5"/>
    <w:rsid w:val="00BE362D"/>
    <w:rsid w:val="00BE398C"/>
    <w:rsid w:val="00BE3C6A"/>
    <w:rsid w:val="00BE3C8C"/>
    <w:rsid w:val="00BE4138"/>
    <w:rsid w:val="00BE470F"/>
    <w:rsid w:val="00BE4851"/>
    <w:rsid w:val="00BE4EF1"/>
    <w:rsid w:val="00BE5B17"/>
    <w:rsid w:val="00BE5BC9"/>
    <w:rsid w:val="00BE6541"/>
    <w:rsid w:val="00BE6546"/>
    <w:rsid w:val="00BE65F0"/>
    <w:rsid w:val="00BE6E7A"/>
    <w:rsid w:val="00BE703B"/>
    <w:rsid w:val="00BE72BF"/>
    <w:rsid w:val="00BE72E0"/>
    <w:rsid w:val="00BF08C1"/>
    <w:rsid w:val="00BF17B8"/>
    <w:rsid w:val="00BF3708"/>
    <w:rsid w:val="00BF3827"/>
    <w:rsid w:val="00BF3AF4"/>
    <w:rsid w:val="00BF4DD3"/>
    <w:rsid w:val="00BF4F11"/>
    <w:rsid w:val="00BF6D5E"/>
    <w:rsid w:val="00BF71FE"/>
    <w:rsid w:val="00BF7F5F"/>
    <w:rsid w:val="00C04173"/>
    <w:rsid w:val="00C044C0"/>
    <w:rsid w:val="00C04E7F"/>
    <w:rsid w:val="00C050CB"/>
    <w:rsid w:val="00C0541D"/>
    <w:rsid w:val="00C057D4"/>
    <w:rsid w:val="00C05CA1"/>
    <w:rsid w:val="00C05E10"/>
    <w:rsid w:val="00C06575"/>
    <w:rsid w:val="00C06871"/>
    <w:rsid w:val="00C07E05"/>
    <w:rsid w:val="00C1089D"/>
    <w:rsid w:val="00C10DF0"/>
    <w:rsid w:val="00C11CA7"/>
    <w:rsid w:val="00C123B6"/>
    <w:rsid w:val="00C12B23"/>
    <w:rsid w:val="00C14BB8"/>
    <w:rsid w:val="00C14FEA"/>
    <w:rsid w:val="00C15AE1"/>
    <w:rsid w:val="00C15B51"/>
    <w:rsid w:val="00C15E34"/>
    <w:rsid w:val="00C15EA8"/>
    <w:rsid w:val="00C15F64"/>
    <w:rsid w:val="00C1665D"/>
    <w:rsid w:val="00C17F98"/>
    <w:rsid w:val="00C207BD"/>
    <w:rsid w:val="00C213BD"/>
    <w:rsid w:val="00C21C2A"/>
    <w:rsid w:val="00C2294D"/>
    <w:rsid w:val="00C22EF0"/>
    <w:rsid w:val="00C23170"/>
    <w:rsid w:val="00C233E2"/>
    <w:rsid w:val="00C23841"/>
    <w:rsid w:val="00C25536"/>
    <w:rsid w:val="00C256D4"/>
    <w:rsid w:val="00C25CF8"/>
    <w:rsid w:val="00C25EF3"/>
    <w:rsid w:val="00C25FD7"/>
    <w:rsid w:val="00C2668D"/>
    <w:rsid w:val="00C26BAD"/>
    <w:rsid w:val="00C26BB9"/>
    <w:rsid w:val="00C26D44"/>
    <w:rsid w:val="00C27299"/>
    <w:rsid w:val="00C27AFE"/>
    <w:rsid w:val="00C27B29"/>
    <w:rsid w:val="00C307DA"/>
    <w:rsid w:val="00C30819"/>
    <w:rsid w:val="00C3091A"/>
    <w:rsid w:val="00C30BC2"/>
    <w:rsid w:val="00C31B3E"/>
    <w:rsid w:val="00C32583"/>
    <w:rsid w:val="00C325F4"/>
    <w:rsid w:val="00C33265"/>
    <w:rsid w:val="00C335B4"/>
    <w:rsid w:val="00C34F1B"/>
    <w:rsid w:val="00C35409"/>
    <w:rsid w:val="00C35F87"/>
    <w:rsid w:val="00C3610A"/>
    <w:rsid w:val="00C363AE"/>
    <w:rsid w:val="00C37034"/>
    <w:rsid w:val="00C37145"/>
    <w:rsid w:val="00C375CA"/>
    <w:rsid w:val="00C37805"/>
    <w:rsid w:val="00C37A62"/>
    <w:rsid w:val="00C37EF5"/>
    <w:rsid w:val="00C40372"/>
    <w:rsid w:val="00C408E2"/>
    <w:rsid w:val="00C4120F"/>
    <w:rsid w:val="00C41DCB"/>
    <w:rsid w:val="00C42A20"/>
    <w:rsid w:val="00C42E79"/>
    <w:rsid w:val="00C431D5"/>
    <w:rsid w:val="00C434CB"/>
    <w:rsid w:val="00C43E9F"/>
    <w:rsid w:val="00C443D6"/>
    <w:rsid w:val="00C44D3D"/>
    <w:rsid w:val="00C45D0E"/>
    <w:rsid w:val="00C45D20"/>
    <w:rsid w:val="00C45D30"/>
    <w:rsid w:val="00C469DC"/>
    <w:rsid w:val="00C46B28"/>
    <w:rsid w:val="00C46D20"/>
    <w:rsid w:val="00C47EBF"/>
    <w:rsid w:val="00C504ED"/>
    <w:rsid w:val="00C508A4"/>
    <w:rsid w:val="00C50E23"/>
    <w:rsid w:val="00C50F58"/>
    <w:rsid w:val="00C51672"/>
    <w:rsid w:val="00C518F8"/>
    <w:rsid w:val="00C51F9A"/>
    <w:rsid w:val="00C52605"/>
    <w:rsid w:val="00C53091"/>
    <w:rsid w:val="00C531B8"/>
    <w:rsid w:val="00C53205"/>
    <w:rsid w:val="00C53301"/>
    <w:rsid w:val="00C536E6"/>
    <w:rsid w:val="00C543FD"/>
    <w:rsid w:val="00C54532"/>
    <w:rsid w:val="00C54964"/>
    <w:rsid w:val="00C54F34"/>
    <w:rsid w:val="00C54FA5"/>
    <w:rsid w:val="00C55C96"/>
    <w:rsid w:val="00C566B0"/>
    <w:rsid w:val="00C571B8"/>
    <w:rsid w:val="00C5770C"/>
    <w:rsid w:val="00C57A09"/>
    <w:rsid w:val="00C57BC2"/>
    <w:rsid w:val="00C57C52"/>
    <w:rsid w:val="00C60137"/>
    <w:rsid w:val="00C61462"/>
    <w:rsid w:val="00C61737"/>
    <w:rsid w:val="00C6179C"/>
    <w:rsid w:val="00C6180D"/>
    <w:rsid w:val="00C61D15"/>
    <w:rsid w:val="00C61E5B"/>
    <w:rsid w:val="00C62137"/>
    <w:rsid w:val="00C638F7"/>
    <w:rsid w:val="00C64E6C"/>
    <w:rsid w:val="00C66134"/>
    <w:rsid w:val="00C66B84"/>
    <w:rsid w:val="00C67553"/>
    <w:rsid w:val="00C67E56"/>
    <w:rsid w:val="00C67EC8"/>
    <w:rsid w:val="00C70506"/>
    <w:rsid w:val="00C705AA"/>
    <w:rsid w:val="00C710AA"/>
    <w:rsid w:val="00C71CBC"/>
    <w:rsid w:val="00C72EC5"/>
    <w:rsid w:val="00C72ECD"/>
    <w:rsid w:val="00C733B9"/>
    <w:rsid w:val="00C73950"/>
    <w:rsid w:val="00C746ED"/>
    <w:rsid w:val="00C749A4"/>
    <w:rsid w:val="00C74F73"/>
    <w:rsid w:val="00C7513B"/>
    <w:rsid w:val="00C758A2"/>
    <w:rsid w:val="00C759B3"/>
    <w:rsid w:val="00C75F8D"/>
    <w:rsid w:val="00C76051"/>
    <w:rsid w:val="00C76BF1"/>
    <w:rsid w:val="00C77CC1"/>
    <w:rsid w:val="00C77D85"/>
    <w:rsid w:val="00C803D6"/>
    <w:rsid w:val="00C8089A"/>
    <w:rsid w:val="00C80A0B"/>
    <w:rsid w:val="00C80DCC"/>
    <w:rsid w:val="00C813EB"/>
    <w:rsid w:val="00C8156E"/>
    <w:rsid w:val="00C81C36"/>
    <w:rsid w:val="00C823B5"/>
    <w:rsid w:val="00C82883"/>
    <w:rsid w:val="00C82FE3"/>
    <w:rsid w:val="00C8409C"/>
    <w:rsid w:val="00C8460C"/>
    <w:rsid w:val="00C850B6"/>
    <w:rsid w:val="00C85A51"/>
    <w:rsid w:val="00C85D60"/>
    <w:rsid w:val="00C85E80"/>
    <w:rsid w:val="00C86C6C"/>
    <w:rsid w:val="00C874D6"/>
    <w:rsid w:val="00C8779D"/>
    <w:rsid w:val="00C87D35"/>
    <w:rsid w:val="00C90554"/>
    <w:rsid w:val="00C917FD"/>
    <w:rsid w:val="00C91EA7"/>
    <w:rsid w:val="00C91F5E"/>
    <w:rsid w:val="00C9201E"/>
    <w:rsid w:val="00C922C1"/>
    <w:rsid w:val="00C9299C"/>
    <w:rsid w:val="00C94422"/>
    <w:rsid w:val="00C94838"/>
    <w:rsid w:val="00C94912"/>
    <w:rsid w:val="00C961BE"/>
    <w:rsid w:val="00C97821"/>
    <w:rsid w:val="00CA07D3"/>
    <w:rsid w:val="00CA0EE8"/>
    <w:rsid w:val="00CA16D1"/>
    <w:rsid w:val="00CA18D5"/>
    <w:rsid w:val="00CA1EFE"/>
    <w:rsid w:val="00CA2463"/>
    <w:rsid w:val="00CA2E98"/>
    <w:rsid w:val="00CA3813"/>
    <w:rsid w:val="00CA4072"/>
    <w:rsid w:val="00CA51D5"/>
    <w:rsid w:val="00CA71D2"/>
    <w:rsid w:val="00CA720E"/>
    <w:rsid w:val="00CA72F7"/>
    <w:rsid w:val="00CA76CE"/>
    <w:rsid w:val="00CA7A29"/>
    <w:rsid w:val="00CA7AF0"/>
    <w:rsid w:val="00CA7F52"/>
    <w:rsid w:val="00CB087A"/>
    <w:rsid w:val="00CB0F08"/>
    <w:rsid w:val="00CB1314"/>
    <w:rsid w:val="00CB132C"/>
    <w:rsid w:val="00CB1BCA"/>
    <w:rsid w:val="00CB28A2"/>
    <w:rsid w:val="00CB2A7E"/>
    <w:rsid w:val="00CB2C7A"/>
    <w:rsid w:val="00CB2F22"/>
    <w:rsid w:val="00CB32D9"/>
    <w:rsid w:val="00CB33C5"/>
    <w:rsid w:val="00CB3804"/>
    <w:rsid w:val="00CB41B9"/>
    <w:rsid w:val="00CB4257"/>
    <w:rsid w:val="00CB4EB6"/>
    <w:rsid w:val="00CB5136"/>
    <w:rsid w:val="00CB5741"/>
    <w:rsid w:val="00CB5909"/>
    <w:rsid w:val="00CB62CC"/>
    <w:rsid w:val="00CB6D4D"/>
    <w:rsid w:val="00CB6E5E"/>
    <w:rsid w:val="00CB71AE"/>
    <w:rsid w:val="00CB7B58"/>
    <w:rsid w:val="00CC00A6"/>
    <w:rsid w:val="00CC00DF"/>
    <w:rsid w:val="00CC04A8"/>
    <w:rsid w:val="00CC17CF"/>
    <w:rsid w:val="00CC2A9C"/>
    <w:rsid w:val="00CC39F4"/>
    <w:rsid w:val="00CC3A32"/>
    <w:rsid w:val="00CC427A"/>
    <w:rsid w:val="00CC4DD5"/>
    <w:rsid w:val="00CC4F83"/>
    <w:rsid w:val="00CC508E"/>
    <w:rsid w:val="00CC556D"/>
    <w:rsid w:val="00CC6230"/>
    <w:rsid w:val="00CC62B0"/>
    <w:rsid w:val="00CC6368"/>
    <w:rsid w:val="00CC686F"/>
    <w:rsid w:val="00CD00A4"/>
    <w:rsid w:val="00CD045D"/>
    <w:rsid w:val="00CD049D"/>
    <w:rsid w:val="00CD0BEF"/>
    <w:rsid w:val="00CD0ED1"/>
    <w:rsid w:val="00CD1152"/>
    <w:rsid w:val="00CD160E"/>
    <w:rsid w:val="00CD1870"/>
    <w:rsid w:val="00CD1EEF"/>
    <w:rsid w:val="00CD201D"/>
    <w:rsid w:val="00CD27DC"/>
    <w:rsid w:val="00CD2B24"/>
    <w:rsid w:val="00CD32C9"/>
    <w:rsid w:val="00CD6E96"/>
    <w:rsid w:val="00CD78B9"/>
    <w:rsid w:val="00CD7E25"/>
    <w:rsid w:val="00CE0085"/>
    <w:rsid w:val="00CE1AAE"/>
    <w:rsid w:val="00CE1B72"/>
    <w:rsid w:val="00CE1ED6"/>
    <w:rsid w:val="00CE2D12"/>
    <w:rsid w:val="00CE2DBF"/>
    <w:rsid w:val="00CE315B"/>
    <w:rsid w:val="00CE34EF"/>
    <w:rsid w:val="00CE4724"/>
    <w:rsid w:val="00CE4B96"/>
    <w:rsid w:val="00CE51EC"/>
    <w:rsid w:val="00CE55F9"/>
    <w:rsid w:val="00CE5761"/>
    <w:rsid w:val="00CE5CA2"/>
    <w:rsid w:val="00CE5CAC"/>
    <w:rsid w:val="00CE6444"/>
    <w:rsid w:val="00CE6967"/>
    <w:rsid w:val="00CE6B27"/>
    <w:rsid w:val="00CE6CDD"/>
    <w:rsid w:val="00CE6FCE"/>
    <w:rsid w:val="00CE7A17"/>
    <w:rsid w:val="00CF067F"/>
    <w:rsid w:val="00CF0BDC"/>
    <w:rsid w:val="00CF1664"/>
    <w:rsid w:val="00CF252D"/>
    <w:rsid w:val="00CF271E"/>
    <w:rsid w:val="00CF3B2D"/>
    <w:rsid w:val="00CF3E38"/>
    <w:rsid w:val="00CF3EB8"/>
    <w:rsid w:val="00CF3F20"/>
    <w:rsid w:val="00CF62CB"/>
    <w:rsid w:val="00CF6EDE"/>
    <w:rsid w:val="00CF75E6"/>
    <w:rsid w:val="00CF79AC"/>
    <w:rsid w:val="00CF7F3C"/>
    <w:rsid w:val="00D00064"/>
    <w:rsid w:val="00D002E7"/>
    <w:rsid w:val="00D01545"/>
    <w:rsid w:val="00D021E9"/>
    <w:rsid w:val="00D02A89"/>
    <w:rsid w:val="00D0391C"/>
    <w:rsid w:val="00D04091"/>
    <w:rsid w:val="00D04270"/>
    <w:rsid w:val="00D04429"/>
    <w:rsid w:val="00D0476F"/>
    <w:rsid w:val="00D04836"/>
    <w:rsid w:val="00D050C0"/>
    <w:rsid w:val="00D0514B"/>
    <w:rsid w:val="00D05152"/>
    <w:rsid w:val="00D05A40"/>
    <w:rsid w:val="00D05C01"/>
    <w:rsid w:val="00D0657E"/>
    <w:rsid w:val="00D06B2D"/>
    <w:rsid w:val="00D06BB0"/>
    <w:rsid w:val="00D06D88"/>
    <w:rsid w:val="00D0722E"/>
    <w:rsid w:val="00D07664"/>
    <w:rsid w:val="00D07B7D"/>
    <w:rsid w:val="00D1117F"/>
    <w:rsid w:val="00D127B9"/>
    <w:rsid w:val="00D12E28"/>
    <w:rsid w:val="00D136EF"/>
    <w:rsid w:val="00D1382D"/>
    <w:rsid w:val="00D147D4"/>
    <w:rsid w:val="00D15AEC"/>
    <w:rsid w:val="00D162E5"/>
    <w:rsid w:val="00D16C5E"/>
    <w:rsid w:val="00D16ED3"/>
    <w:rsid w:val="00D16F60"/>
    <w:rsid w:val="00D176E9"/>
    <w:rsid w:val="00D17C44"/>
    <w:rsid w:val="00D20324"/>
    <w:rsid w:val="00D20BC9"/>
    <w:rsid w:val="00D21290"/>
    <w:rsid w:val="00D21448"/>
    <w:rsid w:val="00D215BF"/>
    <w:rsid w:val="00D215E4"/>
    <w:rsid w:val="00D21999"/>
    <w:rsid w:val="00D21AC1"/>
    <w:rsid w:val="00D21C88"/>
    <w:rsid w:val="00D21CB8"/>
    <w:rsid w:val="00D22174"/>
    <w:rsid w:val="00D221E5"/>
    <w:rsid w:val="00D2238D"/>
    <w:rsid w:val="00D22C7B"/>
    <w:rsid w:val="00D22E5E"/>
    <w:rsid w:val="00D23D29"/>
    <w:rsid w:val="00D24090"/>
    <w:rsid w:val="00D243DB"/>
    <w:rsid w:val="00D24E26"/>
    <w:rsid w:val="00D25266"/>
    <w:rsid w:val="00D25427"/>
    <w:rsid w:val="00D2557A"/>
    <w:rsid w:val="00D25C8E"/>
    <w:rsid w:val="00D2642B"/>
    <w:rsid w:val="00D27D53"/>
    <w:rsid w:val="00D315BF"/>
    <w:rsid w:val="00D31CBB"/>
    <w:rsid w:val="00D324BB"/>
    <w:rsid w:val="00D32B4B"/>
    <w:rsid w:val="00D3361B"/>
    <w:rsid w:val="00D33DEA"/>
    <w:rsid w:val="00D34106"/>
    <w:rsid w:val="00D34261"/>
    <w:rsid w:val="00D347C9"/>
    <w:rsid w:val="00D34CBF"/>
    <w:rsid w:val="00D34E9C"/>
    <w:rsid w:val="00D350D6"/>
    <w:rsid w:val="00D3537A"/>
    <w:rsid w:val="00D3668D"/>
    <w:rsid w:val="00D37803"/>
    <w:rsid w:val="00D403A5"/>
    <w:rsid w:val="00D41001"/>
    <w:rsid w:val="00D41257"/>
    <w:rsid w:val="00D412A4"/>
    <w:rsid w:val="00D41983"/>
    <w:rsid w:val="00D41A92"/>
    <w:rsid w:val="00D41BC7"/>
    <w:rsid w:val="00D42C47"/>
    <w:rsid w:val="00D42C9D"/>
    <w:rsid w:val="00D42CCF"/>
    <w:rsid w:val="00D433DE"/>
    <w:rsid w:val="00D43DE7"/>
    <w:rsid w:val="00D441FE"/>
    <w:rsid w:val="00D4605C"/>
    <w:rsid w:val="00D46CDD"/>
    <w:rsid w:val="00D4794C"/>
    <w:rsid w:val="00D5038B"/>
    <w:rsid w:val="00D50961"/>
    <w:rsid w:val="00D51661"/>
    <w:rsid w:val="00D52274"/>
    <w:rsid w:val="00D527E8"/>
    <w:rsid w:val="00D5384F"/>
    <w:rsid w:val="00D539F8"/>
    <w:rsid w:val="00D540AB"/>
    <w:rsid w:val="00D54758"/>
    <w:rsid w:val="00D54FAD"/>
    <w:rsid w:val="00D554F5"/>
    <w:rsid w:val="00D55713"/>
    <w:rsid w:val="00D56527"/>
    <w:rsid w:val="00D56A56"/>
    <w:rsid w:val="00D57814"/>
    <w:rsid w:val="00D57A2F"/>
    <w:rsid w:val="00D6145C"/>
    <w:rsid w:val="00D61A1D"/>
    <w:rsid w:val="00D6200A"/>
    <w:rsid w:val="00D62A25"/>
    <w:rsid w:val="00D62C91"/>
    <w:rsid w:val="00D62CAD"/>
    <w:rsid w:val="00D63613"/>
    <w:rsid w:val="00D64931"/>
    <w:rsid w:val="00D64AF7"/>
    <w:rsid w:val="00D64CC6"/>
    <w:rsid w:val="00D65102"/>
    <w:rsid w:val="00D6554C"/>
    <w:rsid w:val="00D65ACB"/>
    <w:rsid w:val="00D66155"/>
    <w:rsid w:val="00D66186"/>
    <w:rsid w:val="00D661C3"/>
    <w:rsid w:val="00D6626B"/>
    <w:rsid w:val="00D66569"/>
    <w:rsid w:val="00D668E9"/>
    <w:rsid w:val="00D669CE"/>
    <w:rsid w:val="00D66D06"/>
    <w:rsid w:val="00D66FE9"/>
    <w:rsid w:val="00D671CC"/>
    <w:rsid w:val="00D6768A"/>
    <w:rsid w:val="00D70731"/>
    <w:rsid w:val="00D708A0"/>
    <w:rsid w:val="00D70D0E"/>
    <w:rsid w:val="00D71128"/>
    <w:rsid w:val="00D71A5C"/>
    <w:rsid w:val="00D71B7B"/>
    <w:rsid w:val="00D72A6A"/>
    <w:rsid w:val="00D73F6F"/>
    <w:rsid w:val="00D7504C"/>
    <w:rsid w:val="00D7579A"/>
    <w:rsid w:val="00D75ECD"/>
    <w:rsid w:val="00D76216"/>
    <w:rsid w:val="00D7672A"/>
    <w:rsid w:val="00D76BC8"/>
    <w:rsid w:val="00D77047"/>
    <w:rsid w:val="00D7724B"/>
    <w:rsid w:val="00D779A5"/>
    <w:rsid w:val="00D77A2B"/>
    <w:rsid w:val="00D80656"/>
    <w:rsid w:val="00D80A22"/>
    <w:rsid w:val="00D80BA4"/>
    <w:rsid w:val="00D80D04"/>
    <w:rsid w:val="00D80EB8"/>
    <w:rsid w:val="00D82375"/>
    <w:rsid w:val="00D82774"/>
    <w:rsid w:val="00D82E5F"/>
    <w:rsid w:val="00D8347E"/>
    <w:rsid w:val="00D8362F"/>
    <w:rsid w:val="00D83721"/>
    <w:rsid w:val="00D83E82"/>
    <w:rsid w:val="00D84221"/>
    <w:rsid w:val="00D84344"/>
    <w:rsid w:val="00D85F3E"/>
    <w:rsid w:val="00D86621"/>
    <w:rsid w:val="00D86633"/>
    <w:rsid w:val="00D8677B"/>
    <w:rsid w:val="00D86D7A"/>
    <w:rsid w:val="00D871C5"/>
    <w:rsid w:val="00D87CB6"/>
    <w:rsid w:val="00D87EAF"/>
    <w:rsid w:val="00D90B5D"/>
    <w:rsid w:val="00D90E8F"/>
    <w:rsid w:val="00D91083"/>
    <w:rsid w:val="00D92758"/>
    <w:rsid w:val="00D92ADA"/>
    <w:rsid w:val="00D93E1D"/>
    <w:rsid w:val="00D94C2F"/>
    <w:rsid w:val="00D94C89"/>
    <w:rsid w:val="00D94C8F"/>
    <w:rsid w:val="00D95F7A"/>
    <w:rsid w:val="00D962C2"/>
    <w:rsid w:val="00D9695F"/>
    <w:rsid w:val="00D97122"/>
    <w:rsid w:val="00D97EF8"/>
    <w:rsid w:val="00DA003A"/>
    <w:rsid w:val="00DA03B2"/>
    <w:rsid w:val="00DA03C9"/>
    <w:rsid w:val="00DA1094"/>
    <w:rsid w:val="00DA13D8"/>
    <w:rsid w:val="00DA16A5"/>
    <w:rsid w:val="00DA1955"/>
    <w:rsid w:val="00DA1B4A"/>
    <w:rsid w:val="00DA2474"/>
    <w:rsid w:val="00DA270B"/>
    <w:rsid w:val="00DA35FF"/>
    <w:rsid w:val="00DA3A6C"/>
    <w:rsid w:val="00DA466D"/>
    <w:rsid w:val="00DA51CF"/>
    <w:rsid w:val="00DA6197"/>
    <w:rsid w:val="00DA687D"/>
    <w:rsid w:val="00DA78BB"/>
    <w:rsid w:val="00DB0ED3"/>
    <w:rsid w:val="00DB12AA"/>
    <w:rsid w:val="00DB1419"/>
    <w:rsid w:val="00DB209D"/>
    <w:rsid w:val="00DB2435"/>
    <w:rsid w:val="00DB39E1"/>
    <w:rsid w:val="00DB4899"/>
    <w:rsid w:val="00DB56A1"/>
    <w:rsid w:val="00DB5871"/>
    <w:rsid w:val="00DB5A94"/>
    <w:rsid w:val="00DB5B3C"/>
    <w:rsid w:val="00DB5C81"/>
    <w:rsid w:val="00DB5F4F"/>
    <w:rsid w:val="00DB61FF"/>
    <w:rsid w:val="00DB6B3E"/>
    <w:rsid w:val="00DB6D56"/>
    <w:rsid w:val="00DB7744"/>
    <w:rsid w:val="00DC00AF"/>
    <w:rsid w:val="00DC05DB"/>
    <w:rsid w:val="00DC0CE1"/>
    <w:rsid w:val="00DC0D74"/>
    <w:rsid w:val="00DC184E"/>
    <w:rsid w:val="00DC1AD8"/>
    <w:rsid w:val="00DC1B8A"/>
    <w:rsid w:val="00DC1C35"/>
    <w:rsid w:val="00DC2CD5"/>
    <w:rsid w:val="00DC2F69"/>
    <w:rsid w:val="00DC3078"/>
    <w:rsid w:val="00DC31FB"/>
    <w:rsid w:val="00DC3772"/>
    <w:rsid w:val="00DC3BE1"/>
    <w:rsid w:val="00DC3CDE"/>
    <w:rsid w:val="00DC3F1D"/>
    <w:rsid w:val="00DC3F3B"/>
    <w:rsid w:val="00DC43E6"/>
    <w:rsid w:val="00DC44C8"/>
    <w:rsid w:val="00DC499D"/>
    <w:rsid w:val="00DC4A98"/>
    <w:rsid w:val="00DC4ED7"/>
    <w:rsid w:val="00DC5B76"/>
    <w:rsid w:val="00DC5F02"/>
    <w:rsid w:val="00DC5F13"/>
    <w:rsid w:val="00DC6F03"/>
    <w:rsid w:val="00DC7028"/>
    <w:rsid w:val="00DC7439"/>
    <w:rsid w:val="00DD08FE"/>
    <w:rsid w:val="00DD0BB7"/>
    <w:rsid w:val="00DD0C86"/>
    <w:rsid w:val="00DD1482"/>
    <w:rsid w:val="00DD1A55"/>
    <w:rsid w:val="00DD1AB0"/>
    <w:rsid w:val="00DD1BE0"/>
    <w:rsid w:val="00DD2D07"/>
    <w:rsid w:val="00DD363E"/>
    <w:rsid w:val="00DD4937"/>
    <w:rsid w:val="00DD4A02"/>
    <w:rsid w:val="00DD5734"/>
    <w:rsid w:val="00DD5E7A"/>
    <w:rsid w:val="00DD62C5"/>
    <w:rsid w:val="00DD6492"/>
    <w:rsid w:val="00DD6513"/>
    <w:rsid w:val="00DD6675"/>
    <w:rsid w:val="00DD724F"/>
    <w:rsid w:val="00DD750E"/>
    <w:rsid w:val="00DD7522"/>
    <w:rsid w:val="00DD7D62"/>
    <w:rsid w:val="00DD7EA5"/>
    <w:rsid w:val="00DD7F0E"/>
    <w:rsid w:val="00DE0015"/>
    <w:rsid w:val="00DE1731"/>
    <w:rsid w:val="00DE1A08"/>
    <w:rsid w:val="00DE1E3A"/>
    <w:rsid w:val="00DE1FB3"/>
    <w:rsid w:val="00DE205F"/>
    <w:rsid w:val="00DE2AA2"/>
    <w:rsid w:val="00DE2EAE"/>
    <w:rsid w:val="00DE3332"/>
    <w:rsid w:val="00DE57D7"/>
    <w:rsid w:val="00DE59CA"/>
    <w:rsid w:val="00DE61DF"/>
    <w:rsid w:val="00DE704B"/>
    <w:rsid w:val="00DE7D0E"/>
    <w:rsid w:val="00DF05BF"/>
    <w:rsid w:val="00DF2EBA"/>
    <w:rsid w:val="00DF3136"/>
    <w:rsid w:val="00DF38D6"/>
    <w:rsid w:val="00DF3C1E"/>
    <w:rsid w:val="00DF410C"/>
    <w:rsid w:val="00DF4E79"/>
    <w:rsid w:val="00DF54DC"/>
    <w:rsid w:val="00DF6026"/>
    <w:rsid w:val="00DF7223"/>
    <w:rsid w:val="00DF72C7"/>
    <w:rsid w:val="00DF7914"/>
    <w:rsid w:val="00E00483"/>
    <w:rsid w:val="00E01A5C"/>
    <w:rsid w:val="00E01F4F"/>
    <w:rsid w:val="00E01F85"/>
    <w:rsid w:val="00E01FBD"/>
    <w:rsid w:val="00E0212D"/>
    <w:rsid w:val="00E02B4E"/>
    <w:rsid w:val="00E0420A"/>
    <w:rsid w:val="00E05264"/>
    <w:rsid w:val="00E06BB0"/>
    <w:rsid w:val="00E07212"/>
    <w:rsid w:val="00E07D6E"/>
    <w:rsid w:val="00E10804"/>
    <w:rsid w:val="00E11572"/>
    <w:rsid w:val="00E12BFB"/>
    <w:rsid w:val="00E13CDD"/>
    <w:rsid w:val="00E14603"/>
    <w:rsid w:val="00E14637"/>
    <w:rsid w:val="00E14F84"/>
    <w:rsid w:val="00E15769"/>
    <w:rsid w:val="00E157DC"/>
    <w:rsid w:val="00E15918"/>
    <w:rsid w:val="00E15EDB"/>
    <w:rsid w:val="00E16306"/>
    <w:rsid w:val="00E16341"/>
    <w:rsid w:val="00E16707"/>
    <w:rsid w:val="00E16B7E"/>
    <w:rsid w:val="00E16D5B"/>
    <w:rsid w:val="00E16FF0"/>
    <w:rsid w:val="00E20F27"/>
    <w:rsid w:val="00E2155D"/>
    <w:rsid w:val="00E218A7"/>
    <w:rsid w:val="00E21EF7"/>
    <w:rsid w:val="00E21FA1"/>
    <w:rsid w:val="00E221B2"/>
    <w:rsid w:val="00E22246"/>
    <w:rsid w:val="00E22EC5"/>
    <w:rsid w:val="00E2334D"/>
    <w:rsid w:val="00E235A0"/>
    <w:rsid w:val="00E23C4E"/>
    <w:rsid w:val="00E240D1"/>
    <w:rsid w:val="00E2445A"/>
    <w:rsid w:val="00E245BB"/>
    <w:rsid w:val="00E249D2"/>
    <w:rsid w:val="00E24E96"/>
    <w:rsid w:val="00E25929"/>
    <w:rsid w:val="00E25FFD"/>
    <w:rsid w:val="00E26850"/>
    <w:rsid w:val="00E269C8"/>
    <w:rsid w:val="00E30F7D"/>
    <w:rsid w:val="00E30FB0"/>
    <w:rsid w:val="00E317E1"/>
    <w:rsid w:val="00E319E9"/>
    <w:rsid w:val="00E31FF3"/>
    <w:rsid w:val="00E32255"/>
    <w:rsid w:val="00E32BE4"/>
    <w:rsid w:val="00E3347A"/>
    <w:rsid w:val="00E338DF"/>
    <w:rsid w:val="00E33F79"/>
    <w:rsid w:val="00E35635"/>
    <w:rsid w:val="00E356F6"/>
    <w:rsid w:val="00E35E15"/>
    <w:rsid w:val="00E365E4"/>
    <w:rsid w:val="00E37138"/>
    <w:rsid w:val="00E37175"/>
    <w:rsid w:val="00E40209"/>
    <w:rsid w:val="00E405B5"/>
    <w:rsid w:val="00E40AE3"/>
    <w:rsid w:val="00E41296"/>
    <w:rsid w:val="00E418E1"/>
    <w:rsid w:val="00E4194F"/>
    <w:rsid w:val="00E41C63"/>
    <w:rsid w:val="00E41CE9"/>
    <w:rsid w:val="00E420AE"/>
    <w:rsid w:val="00E42D57"/>
    <w:rsid w:val="00E42E30"/>
    <w:rsid w:val="00E42FF7"/>
    <w:rsid w:val="00E430FD"/>
    <w:rsid w:val="00E4340B"/>
    <w:rsid w:val="00E4341A"/>
    <w:rsid w:val="00E4496E"/>
    <w:rsid w:val="00E44980"/>
    <w:rsid w:val="00E44BE4"/>
    <w:rsid w:val="00E44D5D"/>
    <w:rsid w:val="00E46BF1"/>
    <w:rsid w:val="00E46C6F"/>
    <w:rsid w:val="00E46CDE"/>
    <w:rsid w:val="00E47112"/>
    <w:rsid w:val="00E501E4"/>
    <w:rsid w:val="00E5036D"/>
    <w:rsid w:val="00E5073B"/>
    <w:rsid w:val="00E50AEC"/>
    <w:rsid w:val="00E5280E"/>
    <w:rsid w:val="00E52DAE"/>
    <w:rsid w:val="00E55C55"/>
    <w:rsid w:val="00E56172"/>
    <w:rsid w:val="00E56331"/>
    <w:rsid w:val="00E56ED8"/>
    <w:rsid w:val="00E57F68"/>
    <w:rsid w:val="00E617BB"/>
    <w:rsid w:val="00E624D3"/>
    <w:rsid w:val="00E6284B"/>
    <w:rsid w:val="00E62FC4"/>
    <w:rsid w:val="00E63255"/>
    <w:rsid w:val="00E644AA"/>
    <w:rsid w:val="00E66AAE"/>
    <w:rsid w:val="00E67AEA"/>
    <w:rsid w:val="00E7038E"/>
    <w:rsid w:val="00E710D1"/>
    <w:rsid w:val="00E71634"/>
    <w:rsid w:val="00E71A0C"/>
    <w:rsid w:val="00E71C7F"/>
    <w:rsid w:val="00E72FA0"/>
    <w:rsid w:val="00E7305F"/>
    <w:rsid w:val="00E73458"/>
    <w:rsid w:val="00E73790"/>
    <w:rsid w:val="00E740BE"/>
    <w:rsid w:val="00E7499C"/>
    <w:rsid w:val="00E74FB7"/>
    <w:rsid w:val="00E7500E"/>
    <w:rsid w:val="00E76139"/>
    <w:rsid w:val="00E76AF1"/>
    <w:rsid w:val="00E76E27"/>
    <w:rsid w:val="00E77A99"/>
    <w:rsid w:val="00E77B87"/>
    <w:rsid w:val="00E77CFA"/>
    <w:rsid w:val="00E8028F"/>
    <w:rsid w:val="00E8136D"/>
    <w:rsid w:val="00E81D05"/>
    <w:rsid w:val="00E81D26"/>
    <w:rsid w:val="00E82394"/>
    <w:rsid w:val="00E83A16"/>
    <w:rsid w:val="00E83CC9"/>
    <w:rsid w:val="00E8481F"/>
    <w:rsid w:val="00E84FBD"/>
    <w:rsid w:val="00E85841"/>
    <w:rsid w:val="00E85B2E"/>
    <w:rsid w:val="00E869A2"/>
    <w:rsid w:val="00E87146"/>
    <w:rsid w:val="00E87400"/>
    <w:rsid w:val="00E8771F"/>
    <w:rsid w:val="00E87FF0"/>
    <w:rsid w:val="00E904E0"/>
    <w:rsid w:val="00E90C55"/>
    <w:rsid w:val="00E90EAB"/>
    <w:rsid w:val="00E91E02"/>
    <w:rsid w:val="00E9203D"/>
    <w:rsid w:val="00E93165"/>
    <w:rsid w:val="00E94271"/>
    <w:rsid w:val="00E94924"/>
    <w:rsid w:val="00E95718"/>
    <w:rsid w:val="00E95949"/>
    <w:rsid w:val="00E96831"/>
    <w:rsid w:val="00E9711F"/>
    <w:rsid w:val="00E973C7"/>
    <w:rsid w:val="00E97BFD"/>
    <w:rsid w:val="00E97D4F"/>
    <w:rsid w:val="00EA0EE4"/>
    <w:rsid w:val="00EA1619"/>
    <w:rsid w:val="00EA1661"/>
    <w:rsid w:val="00EA2063"/>
    <w:rsid w:val="00EA2A9D"/>
    <w:rsid w:val="00EA331B"/>
    <w:rsid w:val="00EA5688"/>
    <w:rsid w:val="00EA6118"/>
    <w:rsid w:val="00EA6936"/>
    <w:rsid w:val="00EA765D"/>
    <w:rsid w:val="00EA7695"/>
    <w:rsid w:val="00EA7E75"/>
    <w:rsid w:val="00EB01DA"/>
    <w:rsid w:val="00EB0372"/>
    <w:rsid w:val="00EB09E3"/>
    <w:rsid w:val="00EB0C56"/>
    <w:rsid w:val="00EB1352"/>
    <w:rsid w:val="00EB28DB"/>
    <w:rsid w:val="00EB300C"/>
    <w:rsid w:val="00EB4656"/>
    <w:rsid w:val="00EB5284"/>
    <w:rsid w:val="00EB5B70"/>
    <w:rsid w:val="00EB6872"/>
    <w:rsid w:val="00EB696D"/>
    <w:rsid w:val="00EB7461"/>
    <w:rsid w:val="00EB7510"/>
    <w:rsid w:val="00EB75FE"/>
    <w:rsid w:val="00EC1183"/>
    <w:rsid w:val="00EC2011"/>
    <w:rsid w:val="00EC3253"/>
    <w:rsid w:val="00EC349B"/>
    <w:rsid w:val="00EC5941"/>
    <w:rsid w:val="00EC60F8"/>
    <w:rsid w:val="00EC638B"/>
    <w:rsid w:val="00EC7602"/>
    <w:rsid w:val="00EC76C2"/>
    <w:rsid w:val="00ED08D4"/>
    <w:rsid w:val="00ED1697"/>
    <w:rsid w:val="00ED1A1C"/>
    <w:rsid w:val="00ED1BCE"/>
    <w:rsid w:val="00ED23E4"/>
    <w:rsid w:val="00ED2AC7"/>
    <w:rsid w:val="00ED2FEA"/>
    <w:rsid w:val="00ED32D2"/>
    <w:rsid w:val="00ED340D"/>
    <w:rsid w:val="00ED3C8B"/>
    <w:rsid w:val="00ED407C"/>
    <w:rsid w:val="00ED4231"/>
    <w:rsid w:val="00ED4C42"/>
    <w:rsid w:val="00ED5684"/>
    <w:rsid w:val="00ED57A0"/>
    <w:rsid w:val="00ED638F"/>
    <w:rsid w:val="00ED676E"/>
    <w:rsid w:val="00ED6D57"/>
    <w:rsid w:val="00ED6E70"/>
    <w:rsid w:val="00ED7309"/>
    <w:rsid w:val="00ED766C"/>
    <w:rsid w:val="00EE0909"/>
    <w:rsid w:val="00EE09C0"/>
    <w:rsid w:val="00EE0AAF"/>
    <w:rsid w:val="00EE0D30"/>
    <w:rsid w:val="00EE1171"/>
    <w:rsid w:val="00EE119D"/>
    <w:rsid w:val="00EE1708"/>
    <w:rsid w:val="00EE1944"/>
    <w:rsid w:val="00EE22C4"/>
    <w:rsid w:val="00EE323C"/>
    <w:rsid w:val="00EE3514"/>
    <w:rsid w:val="00EE382C"/>
    <w:rsid w:val="00EE38B4"/>
    <w:rsid w:val="00EE420C"/>
    <w:rsid w:val="00EE4332"/>
    <w:rsid w:val="00EE6603"/>
    <w:rsid w:val="00EE694C"/>
    <w:rsid w:val="00EE6A7D"/>
    <w:rsid w:val="00EE7647"/>
    <w:rsid w:val="00EE76A5"/>
    <w:rsid w:val="00EE7858"/>
    <w:rsid w:val="00EE7D48"/>
    <w:rsid w:val="00EF04D1"/>
    <w:rsid w:val="00EF0B5C"/>
    <w:rsid w:val="00EF22D0"/>
    <w:rsid w:val="00EF241E"/>
    <w:rsid w:val="00EF285E"/>
    <w:rsid w:val="00EF2B79"/>
    <w:rsid w:val="00EF2C4A"/>
    <w:rsid w:val="00EF37A4"/>
    <w:rsid w:val="00EF4EA7"/>
    <w:rsid w:val="00EF60DE"/>
    <w:rsid w:val="00EF613F"/>
    <w:rsid w:val="00EF61BA"/>
    <w:rsid w:val="00EF6201"/>
    <w:rsid w:val="00EF6296"/>
    <w:rsid w:val="00EF64EE"/>
    <w:rsid w:val="00EF6580"/>
    <w:rsid w:val="00EF6753"/>
    <w:rsid w:val="00EF68D3"/>
    <w:rsid w:val="00EF6B08"/>
    <w:rsid w:val="00EF7B2E"/>
    <w:rsid w:val="00F009B3"/>
    <w:rsid w:val="00F00DAB"/>
    <w:rsid w:val="00F021B2"/>
    <w:rsid w:val="00F02DEC"/>
    <w:rsid w:val="00F02E97"/>
    <w:rsid w:val="00F03B25"/>
    <w:rsid w:val="00F04101"/>
    <w:rsid w:val="00F042AD"/>
    <w:rsid w:val="00F04327"/>
    <w:rsid w:val="00F044FC"/>
    <w:rsid w:val="00F04841"/>
    <w:rsid w:val="00F04D34"/>
    <w:rsid w:val="00F05093"/>
    <w:rsid w:val="00F063DB"/>
    <w:rsid w:val="00F06592"/>
    <w:rsid w:val="00F065E1"/>
    <w:rsid w:val="00F06B95"/>
    <w:rsid w:val="00F07519"/>
    <w:rsid w:val="00F07D0F"/>
    <w:rsid w:val="00F1079A"/>
    <w:rsid w:val="00F10AB1"/>
    <w:rsid w:val="00F11007"/>
    <w:rsid w:val="00F1156B"/>
    <w:rsid w:val="00F1167C"/>
    <w:rsid w:val="00F1196E"/>
    <w:rsid w:val="00F129A8"/>
    <w:rsid w:val="00F130AF"/>
    <w:rsid w:val="00F13334"/>
    <w:rsid w:val="00F1352D"/>
    <w:rsid w:val="00F137DB"/>
    <w:rsid w:val="00F13A97"/>
    <w:rsid w:val="00F13B92"/>
    <w:rsid w:val="00F13C34"/>
    <w:rsid w:val="00F14B7A"/>
    <w:rsid w:val="00F14F22"/>
    <w:rsid w:val="00F14FB7"/>
    <w:rsid w:val="00F151D8"/>
    <w:rsid w:val="00F155B5"/>
    <w:rsid w:val="00F157AF"/>
    <w:rsid w:val="00F16089"/>
    <w:rsid w:val="00F17429"/>
    <w:rsid w:val="00F174C1"/>
    <w:rsid w:val="00F17E9C"/>
    <w:rsid w:val="00F202DA"/>
    <w:rsid w:val="00F20324"/>
    <w:rsid w:val="00F20729"/>
    <w:rsid w:val="00F21028"/>
    <w:rsid w:val="00F2104D"/>
    <w:rsid w:val="00F217BE"/>
    <w:rsid w:val="00F21C62"/>
    <w:rsid w:val="00F22395"/>
    <w:rsid w:val="00F22878"/>
    <w:rsid w:val="00F230A6"/>
    <w:rsid w:val="00F231ED"/>
    <w:rsid w:val="00F23D86"/>
    <w:rsid w:val="00F23DEB"/>
    <w:rsid w:val="00F23E2E"/>
    <w:rsid w:val="00F25458"/>
    <w:rsid w:val="00F269BB"/>
    <w:rsid w:val="00F26D3C"/>
    <w:rsid w:val="00F27667"/>
    <w:rsid w:val="00F27B27"/>
    <w:rsid w:val="00F3054E"/>
    <w:rsid w:val="00F31FAE"/>
    <w:rsid w:val="00F320E8"/>
    <w:rsid w:val="00F32F9C"/>
    <w:rsid w:val="00F33D1D"/>
    <w:rsid w:val="00F346BE"/>
    <w:rsid w:val="00F34B78"/>
    <w:rsid w:val="00F36035"/>
    <w:rsid w:val="00F3669E"/>
    <w:rsid w:val="00F36D6D"/>
    <w:rsid w:val="00F378F0"/>
    <w:rsid w:val="00F41657"/>
    <w:rsid w:val="00F418C8"/>
    <w:rsid w:val="00F422E6"/>
    <w:rsid w:val="00F42382"/>
    <w:rsid w:val="00F4254D"/>
    <w:rsid w:val="00F42B32"/>
    <w:rsid w:val="00F434A8"/>
    <w:rsid w:val="00F436D3"/>
    <w:rsid w:val="00F436DA"/>
    <w:rsid w:val="00F439BF"/>
    <w:rsid w:val="00F45219"/>
    <w:rsid w:val="00F454D5"/>
    <w:rsid w:val="00F4561A"/>
    <w:rsid w:val="00F4619C"/>
    <w:rsid w:val="00F472D8"/>
    <w:rsid w:val="00F47FCA"/>
    <w:rsid w:val="00F5038A"/>
    <w:rsid w:val="00F51BC6"/>
    <w:rsid w:val="00F53531"/>
    <w:rsid w:val="00F53F66"/>
    <w:rsid w:val="00F54955"/>
    <w:rsid w:val="00F55432"/>
    <w:rsid w:val="00F55C9E"/>
    <w:rsid w:val="00F568C3"/>
    <w:rsid w:val="00F57424"/>
    <w:rsid w:val="00F57D2F"/>
    <w:rsid w:val="00F6033E"/>
    <w:rsid w:val="00F6034F"/>
    <w:rsid w:val="00F6184F"/>
    <w:rsid w:val="00F61EFC"/>
    <w:rsid w:val="00F63419"/>
    <w:rsid w:val="00F63D5D"/>
    <w:rsid w:val="00F6414B"/>
    <w:rsid w:val="00F643AE"/>
    <w:rsid w:val="00F64B94"/>
    <w:rsid w:val="00F6520F"/>
    <w:rsid w:val="00F65EDA"/>
    <w:rsid w:val="00F65F89"/>
    <w:rsid w:val="00F66401"/>
    <w:rsid w:val="00F66B57"/>
    <w:rsid w:val="00F66DC4"/>
    <w:rsid w:val="00F673BF"/>
    <w:rsid w:val="00F70032"/>
    <w:rsid w:val="00F708F8"/>
    <w:rsid w:val="00F71CDB"/>
    <w:rsid w:val="00F72770"/>
    <w:rsid w:val="00F73964"/>
    <w:rsid w:val="00F73B2B"/>
    <w:rsid w:val="00F73EED"/>
    <w:rsid w:val="00F74684"/>
    <w:rsid w:val="00F75180"/>
    <w:rsid w:val="00F753D7"/>
    <w:rsid w:val="00F7565A"/>
    <w:rsid w:val="00F75FEB"/>
    <w:rsid w:val="00F76231"/>
    <w:rsid w:val="00F779BD"/>
    <w:rsid w:val="00F806B4"/>
    <w:rsid w:val="00F82095"/>
    <w:rsid w:val="00F82345"/>
    <w:rsid w:val="00F82EC7"/>
    <w:rsid w:val="00F830B7"/>
    <w:rsid w:val="00F8393E"/>
    <w:rsid w:val="00F83FCA"/>
    <w:rsid w:val="00F8410A"/>
    <w:rsid w:val="00F85FC9"/>
    <w:rsid w:val="00F86345"/>
    <w:rsid w:val="00F863D0"/>
    <w:rsid w:val="00F86722"/>
    <w:rsid w:val="00F86862"/>
    <w:rsid w:val="00F87A82"/>
    <w:rsid w:val="00F9066E"/>
    <w:rsid w:val="00F9075A"/>
    <w:rsid w:val="00F90C60"/>
    <w:rsid w:val="00F91ECB"/>
    <w:rsid w:val="00F92038"/>
    <w:rsid w:val="00F93295"/>
    <w:rsid w:val="00F93B38"/>
    <w:rsid w:val="00F9428D"/>
    <w:rsid w:val="00F9463F"/>
    <w:rsid w:val="00F94B49"/>
    <w:rsid w:val="00F94C09"/>
    <w:rsid w:val="00F955C0"/>
    <w:rsid w:val="00F9570F"/>
    <w:rsid w:val="00F963F7"/>
    <w:rsid w:val="00F97247"/>
    <w:rsid w:val="00F97501"/>
    <w:rsid w:val="00F975A0"/>
    <w:rsid w:val="00FA11AB"/>
    <w:rsid w:val="00FA1FD9"/>
    <w:rsid w:val="00FA2AC6"/>
    <w:rsid w:val="00FA2C1C"/>
    <w:rsid w:val="00FA32B2"/>
    <w:rsid w:val="00FA3487"/>
    <w:rsid w:val="00FA3D25"/>
    <w:rsid w:val="00FA3EF3"/>
    <w:rsid w:val="00FA5877"/>
    <w:rsid w:val="00FA662F"/>
    <w:rsid w:val="00FA6836"/>
    <w:rsid w:val="00FA7AA7"/>
    <w:rsid w:val="00FB02D6"/>
    <w:rsid w:val="00FB0410"/>
    <w:rsid w:val="00FB0444"/>
    <w:rsid w:val="00FB0F49"/>
    <w:rsid w:val="00FB1382"/>
    <w:rsid w:val="00FB185E"/>
    <w:rsid w:val="00FB2C00"/>
    <w:rsid w:val="00FB344F"/>
    <w:rsid w:val="00FB3548"/>
    <w:rsid w:val="00FB36D5"/>
    <w:rsid w:val="00FB4EC4"/>
    <w:rsid w:val="00FB5344"/>
    <w:rsid w:val="00FB5CB2"/>
    <w:rsid w:val="00FB63C1"/>
    <w:rsid w:val="00FB64EB"/>
    <w:rsid w:val="00FB6F44"/>
    <w:rsid w:val="00FB7146"/>
    <w:rsid w:val="00FB7799"/>
    <w:rsid w:val="00FB7CB5"/>
    <w:rsid w:val="00FB7E5D"/>
    <w:rsid w:val="00FC003F"/>
    <w:rsid w:val="00FC0077"/>
    <w:rsid w:val="00FC09E0"/>
    <w:rsid w:val="00FC0BC1"/>
    <w:rsid w:val="00FC23C3"/>
    <w:rsid w:val="00FC28FC"/>
    <w:rsid w:val="00FC37FE"/>
    <w:rsid w:val="00FC447D"/>
    <w:rsid w:val="00FC4E87"/>
    <w:rsid w:val="00FC52CF"/>
    <w:rsid w:val="00FC5488"/>
    <w:rsid w:val="00FC57E3"/>
    <w:rsid w:val="00FC5D4E"/>
    <w:rsid w:val="00FC63C3"/>
    <w:rsid w:val="00FC66DD"/>
    <w:rsid w:val="00FC7014"/>
    <w:rsid w:val="00FC7A4E"/>
    <w:rsid w:val="00FD09FC"/>
    <w:rsid w:val="00FD0FBE"/>
    <w:rsid w:val="00FD1790"/>
    <w:rsid w:val="00FD17BE"/>
    <w:rsid w:val="00FD261E"/>
    <w:rsid w:val="00FD286A"/>
    <w:rsid w:val="00FD30C5"/>
    <w:rsid w:val="00FD3245"/>
    <w:rsid w:val="00FD374B"/>
    <w:rsid w:val="00FD3A23"/>
    <w:rsid w:val="00FD545B"/>
    <w:rsid w:val="00FD5E01"/>
    <w:rsid w:val="00FD603B"/>
    <w:rsid w:val="00FD6139"/>
    <w:rsid w:val="00FD657C"/>
    <w:rsid w:val="00FD6650"/>
    <w:rsid w:val="00FD6FBF"/>
    <w:rsid w:val="00FD7164"/>
    <w:rsid w:val="00FD7D2E"/>
    <w:rsid w:val="00FE018C"/>
    <w:rsid w:val="00FE0E0E"/>
    <w:rsid w:val="00FE12E6"/>
    <w:rsid w:val="00FE1410"/>
    <w:rsid w:val="00FE1E2F"/>
    <w:rsid w:val="00FE2189"/>
    <w:rsid w:val="00FE27D6"/>
    <w:rsid w:val="00FE2A06"/>
    <w:rsid w:val="00FE35A3"/>
    <w:rsid w:val="00FE3714"/>
    <w:rsid w:val="00FE38E5"/>
    <w:rsid w:val="00FE445C"/>
    <w:rsid w:val="00FE4C8A"/>
    <w:rsid w:val="00FE5DCD"/>
    <w:rsid w:val="00FE632F"/>
    <w:rsid w:val="00FE651C"/>
    <w:rsid w:val="00FE6D0D"/>
    <w:rsid w:val="00FE759E"/>
    <w:rsid w:val="00FE7B36"/>
    <w:rsid w:val="00FE7D62"/>
    <w:rsid w:val="00FF0550"/>
    <w:rsid w:val="00FF07DE"/>
    <w:rsid w:val="00FF11EF"/>
    <w:rsid w:val="00FF138B"/>
    <w:rsid w:val="00FF1860"/>
    <w:rsid w:val="00FF21A7"/>
    <w:rsid w:val="00FF25A0"/>
    <w:rsid w:val="00FF31F0"/>
    <w:rsid w:val="00FF345F"/>
    <w:rsid w:val="00FF363C"/>
    <w:rsid w:val="00FF3B63"/>
    <w:rsid w:val="00FF475C"/>
    <w:rsid w:val="00FF4AF2"/>
    <w:rsid w:val="00FF4C3F"/>
    <w:rsid w:val="00FF5260"/>
    <w:rsid w:val="00FF543B"/>
    <w:rsid w:val="00FF64B6"/>
    <w:rsid w:val="00FF66FF"/>
    <w:rsid w:val="00FF6D52"/>
    <w:rsid w:val="00FF71AB"/>
    <w:rsid w:val="00FF73D6"/>
    <w:rsid w:val="00FF75CA"/>
    <w:rsid w:val="00FF7614"/>
    <w:rsid w:val="00FF78AA"/>
    <w:rsid w:val="00FF7ECE"/>
    <w:rsid w:val="0DD87D32"/>
    <w:rsid w:val="25684DA2"/>
    <w:rsid w:val="382C41A2"/>
    <w:rsid w:val="44A725B7"/>
    <w:rsid w:val="45491FE9"/>
    <w:rsid w:val="AAF7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4"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djustRightInd w:val="0"/>
      <w:ind w:firstLine="20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42"/>
    <w:qFormat/>
    <w:uiPriority w:val="4"/>
    <w:pPr>
      <w:keepNext/>
      <w:keepLines/>
      <w:spacing w:before="340" w:after="330" w:line="578" w:lineRule="auto"/>
      <w:outlineLvl w:val="0"/>
    </w:pPr>
    <w:rPr>
      <w:b/>
      <w:bCs/>
      <w:kern w:val="44"/>
      <w:sz w:val="44"/>
      <w:szCs w:val="44"/>
    </w:rPr>
  </w:style>
  <w:style w:type="paragraph" w:styleId="3">
    <w:name w:val="heading 4"/>
    <w:basedOn w:val="1"/>
    <w:next w:val="1"/>
    <w:link w:val="3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6"/>
    <w:unhideWhenUsed/>
    <w:qFormat/>
    <w:uiPriority w:val="99"/>
    <w:pPr>
      <w:jc w:val="left"/>
    </w:pPr>
  </w:style>
  <w:style w:type="paragraph" w:styleId="5">
    <w:name w:val="footer"/>
    <w:basedOn w:val="1"/>
    <w:link w:val="16"/>
    <w:unhideWhenUsed/>
    <w:qFormat/>
    <w:uiPriority w:val="99"/>
    <w:pPr>
      <w:tabs>
        <w:tab w:val="center" w:pos="4153"/>
        <w:tab w:val="right" w:pos="8306"/>
      </w:tabs>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4"/>
    <w:next w:val="4"/>
    <w:link w:val="37"/>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styleId="14">
    <w:name w:val="annotation reference"/>
    <w:basedOn w:val="10"/>
    <w:semiHidden/>
    <w:unhideWhenUsed/>
    <w:qFormat/>
    <w:uiPriority w:val="99"/>
    <w:rPr>
      <w:sz w:val="21"/>
      <w:szCs w:val="21"/>
    </w:rPr>
  </w:style>
  <w:style w:type="character" w:customStyle="1" w:styleId="15">
    <w:name w:val="页眉 字符"/>
    <w:basedOn w:val="10"/>
    <w:link w:val="6"/>
    <w:qFormat/>
    <w:uiPriority w:val="99"/>
    <w:rPr>
      <w:sz w:val="18"/>
      <w:szCs w:val="18"/>
    </w:rPr>
  </w:style>
  <w:style w:type="character" w:customStyle="1" w:styleId="16">
    <w:name w:val="页脚 字符"/>
    <w:basedOn w:val="10"/>
    <w:link w:val="5"/>
    <w:qFormat/>
    <w:uiPriority w:val="99"/>
    <w:rPr>
      <w:sz w:val="18"/>
      <w:szCs w:val="18"/>
    </w:rPr>
  </w:style>
  <w:style w:type="paragraph" w:customStyle="1" w:styleId="17">
    <w:name w:val="日期行"/>
    <w:link w:val="18"/>
    <w:qFormat/>
    <w:uiPriority w:val="0"/>
    <w:pPr>
      <w:ind w:right="840" w:rightChars="400"/>
      <w:jc w:val="right"/>
    </w:pPr>
    <w:rPr>
      <w:rFonts w:asciiTheme="minorHAnsi" w:hAnsiTheme="minorHAnsi" w:eastAsiaTheme="minorEastAsia" w:cstheme="minorBidi"/>
      <w:kern w:val="2"/>
      <w:sz w:val="21"/>
      <w:szCs w:val="22"/>
      <w:lang w:val="en-US" w:eastAsia="zh-CN" w:bidi="ar-SA"/>
    </w:rPr>
  </w:style>
  <w:style w:type="character" w:customStyle="1" w:styleId="18">
    <w:name w:val="日期行 字符"/>
    <w:basedOn w:val="10"/>
    <w:link w:val="17"/>
    <w:qFormat/>
    <w:uiPriority w:val="0"/>
  </w:style>
  <w:style w:type="character" w:customStyle="1" w:styleId="19">
    <w:name w:val="未处理的提及1"/>
    <w:basedOn w:val="10"/>
    <w:semiHidden/>
    <w:unhideWhenUsed/>
    <w:qFormat/>
    <w:uiPriority w:val="99"/>
    <w:rPr>
      <w:color w:val="605E5C"/>
      <w:shd w:val="clear" w:color="auto" w:fill="E1DFDD"/>
    </w:rPr>
  </w:style>
  <w:style w:type="paragraph" w:styleId="20">
    <w:name w:val="List Paragraph"/>
    <w:basedOn w:val="1"/>
    <w:link w:val="24"/>
    <w:qFormat/>
    <w:uiPriority w:val="34"/>
    <w:pPr>
      <w:ind w:firstLine="420"/>
    </w:pPr>
  </w:style>
  <w:style w:type="table" w:customStyle="1" w:styleId="21">
    <w:name w:val="网格型1"/>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三级"/>
    <w:next w:val="1"/>
    <w:link w:val="25"/>
    <w:qFormat/>
    <w:uiPriority w:val="0"/>
    <w:pPr>
      <w:numPr>
        <w:ilvl w:val="0"/>
        <w:numId w:val="1"/>
      </w:numPr>
      <w:overflowPunct w:val="0"/>
      <w:adjustRightInd w:val="0"/>
      <w:ind w:left="0"/>
      <w:jc w:val="both"/>
      <w:outlineLvl w:val="2"/>
    </w:pPr>
    <w:rPr>
      <w:rFonts w:ascii="Times New Roman" w:hAnsi="Times New Roman" w:eastAsia="仿宋_GB2312" w:cs="Times New Roman"/>
      <w:b/>
      <w:bCs/>
      <w:kern w:val="2"/>
      <w:sz w:val="32"/>
      <w:szCs w:val="22"/>
      <w:lang w:val="en-US" w:eastAsia="zh-CN" w:bidi="ar-SA"/>
    </w:rPr>
  </w:style>
  <w:style w:type="paragraph" w:customStyle="1" w:styleId="23">
    <w:name w:val="一级"/>
    <w:basedOn w:val="20"/>
    <w:link w:val="27"/>
    <w:qFormat/>
    <w:uiPriority w:val="0"/>
    <w:pPr>
      <w:numPr>
        <w:ilvl w:val="1"/>
        <w:numId w:val="2"/>
      </w:numPr>
      <w:ind w:left="0" w:firstLine="632"/>
      <w:outlineLvl w:val="1"/>
    </w:pPr>
    <w:rPr>
      <w:rFonts w:eastAsia="黑体"/>
    </w:rPr>
  </w:style>
  <w:style w:type="character" w:customStyle="1" w:styleId="24">
    <w:name w:val="列表段落 字符"/>
    <w:basedOn w:val="10"/>
    <w:link w:val="20"/>
    <w:qFormat/>
    <w:uiPriority w:val="34"/>
    <w:rPr>
      <w:rFonts w:ascii="Times New Roman" w:hAnsi="Times New Roman" w:eastAsia="仿宋_GB2312" w:cs="Times New Roman"/>
      <w:sz w:val="32"/>
    </w:rPr>
  </w:style>
  <w:style w:type="character" w:customStyle="1" w:styleId="25">
    <w:name w:val="三级 字符"/>
    <w:basedOn w:val="24"/>
    <w:link w:val="22"/>
    <w:qFormat/>
    <w:uiPriority w:val="0"/>
    <w:rPr>
      <w:rFonts w:ascii="Times New Roman" w:hAnsi="Times New Roman" w:eastAsia="仿宋_GB2312" w:cs="Times New Roman"/>
      <w:b/>
      <w:bCs/>
      <w:sz w:val="32"/>
    </w:rPr>
  </w:style>
  <w:style w:type="paragraph" w:customStyle="1" w:styleId="26">
    <w:name w:val="二级"/>
    <w:next w:val="1"/>
    <w:link w:val="28"/>
    <w:qFormat/>
    <w:uiPriority w:val="0"/>
    <w:pPr>
      <w:numPr>
        <w:ilvl w:val="0"/>
        <w:numId w:val="3"/>
      </w:numPr>
      <w:overflowPunct w:val="0"/>
      <w:adjustRightInd w:val="0"/>
      <w:jc w:val="both"/>
      <w:outlineLvl w:val="1"/>
    </w:pPr>
    <w:rPr>
      <w:rFonts w:ascii="Times New Roman" w:hAnsi="Times New Roman" w:eastAsia="楷体_GB2312" w:cs="Times New Roman"/>
      <w:kern w:val="2"/>
      <w:sz w:val="32"/>
      <w:szCs w:val="22"/>
      <w:lang w:val="en-US" w:eastAsia="zh-CN" w:bidi="ar-SA"/>
    </w:rPr>
  </w:style>
  <w:style w:type="character" w:customStyle="1" w:styleId="27">
    <w:name w:val="一级 字符"/>
    <w:basedOn w:val="24"/>
    <w:link w:val="23"/>
    <w:qFormat/>
    <w:uiPriority w:val="0"/>
    <w:rPr>
      <w:rFonts w:ascii="Times New Roman" w:hAnsi="Times New Roman" w:eastAsia="黑体" w:cs="Times New Roman"/>
      <w:sz w:val="32"/>
    </w:rPr>
  </w:style>
  <w:style w:type="character" w:customStyle="1" w:styleId="28">
    <w:name w:val="二级 字符"/>
    <w:basedOn w:val="10"/>
    <w:link w:val="26"/>
    <w:qFormat/>
    <w:uiPriority w:val="0"/>
    <w:rPr>
      <w:rFonts w:ascii="Times New Roman" w:hAnsi="Times New Roman" w:eastAsia="楷体_GB2312" w:cs="Times New Roman"/>
      <w:sz w:val="32"/>
    </w:rPr>
  </w:style>
  <w:style w:type="paragraph" w:customStyle="1" w:styleId="29">
    <w:name w:val="样式1"/>
    <w:basedOn w:val="20"/>
    <w:link w:val="30"/>
    <w:qFormat/>
    <w:uiPriority w:val="0"/>
    <w:pPr>
      <w:numPr>
        <w:ilvl w:val="0"/>
        <w:numId w:val="4"/>
      </w:numPr>
      <w:ind w:firstLine="200"/>
      <w:outlineLvl w:val="1"/>
    </w:pPr>
    <w:rPr>
      <w:rFonts w:eastAsia="楷体_GB2312"/>
    </w:rPr>
  </w:style>
  <w:style w:type="character" w:customStyle="1" w:styleId="30">
    <w:name w:val="样式1 字符"/>
    <w:basedOn w:val="24"/>
    <w:link w:val="29"/>
    <w:qFormat/>
    <w:uiPriority w:val="0"/>
    <w:rPr>
      <w:rFonts w:ascii="Times New Roman" w:hAnsi="Times New Roman" w:eastAsia="楷体_GB2312" w:cs="Times New Roman"/>
      <w:sz w:val="32"/>
    </w:rPr>
  </w:style>
  <w:style w:type="paragraph" w:customStyle="1" w:styleId="31">
    <w:name w:val="Char"/>
    <w:basedOn w:val="1"/>
    <w:qFormat/>
    <w:uiPriority w:val="0"/>
    <w:pPr>
      <w:adjustRightInd/>
      <w:ind w:firstLine="0" w:firstLineChars="0"/>
    </w:pPr>
    <w:rPr>
      <w:rFonts w:eastAsia="宋体"/>
      <w:sz w:val="21"/>
      <w:szCs w:val="20"/>
    </w:rPr>
  </w:style>
  <w:style w:type="paragraph" w:customStyle="1" w:styleId="32">
    <w:name w:val="Char Char Char Char Char Char"/>
    <w:basedOn w:val="1"/>
    <w:qFormat/>
    <w:uiPriority w:val="0"/>
    <w:pPr>
      <w:adjustRightInd/>
      <w:ind w:firstLine="0" w:firstLineChars="0"/>
    </w:pPr>
    <w:rPr>
      <w:rFonts w:eastAsia="宋体"/>
      <w:sz w:val="21"/>
      <w:szCs w:val="20"/>
    </w:rPr>
  </w:style>
  <w:style w:type="paragraph" w:customStyle="1" w:styleId="33">
    <w:name w:val="Char Char1 Char Char Char Char"/>
    <w:basedOn w:val="3"/>
    <w:qFormat/>
    <w:uiPriority w:val="0"/>
    <w:pPr>
      <w:widowControl/>
      <w:adjustRightInd/>
      <w:spacing w:before="140" w:after="0" w:line="220" w:lineRule="atLeast"/>
      <w:ind w:left="720" w:firstLine="0" w:firstLineChars="0"/>
      <w:jc w:val="left"/>
    </w:pPr>
    <w:rPr>
      <w:rFonts w:ascii="Futura Bk BT" w:hAnsi="Futura Bk BT" w:eastAsia="Times New Roman" w:cs="Times New Roman"/>
      <w:b w:val="0"/>
      <w:bCs w:val="0"/>
      <w:spacing w:val="-4"/>
      <w:kern w:val="28"/>
      <w:sz w:val="21"/>
      <w:szCs w:val="20"/>
      <w:lang w:val="en-AU" w:eastAsia="en-US"/>
    </w:rPr>
  </w:style>
  <w:style w:type="character" w:customStyle="1" w:styleId="34">
    <w:name w:val="标题 4 字符"/>
    <w:basedOn w:val="10"/>
    <w:link w:val="3"/>
    <w:semiHidden/>
    <w:qFormat/>
    <w:uiPriority w:val="9"/>
    <w:rPr>
      <w:rFonts w:asciiTheme="majorHAnsi" w:hAnsiTheme="majorHAnsi" w:eastAsiaTheme="majorEastAsia" w:cstheme="majorBidi"/>
      <w:b/>
      <w:bCs/>
      <w:sz w:val="28"/>
      <w:szCs w:val="28"/>
    </w:rPr>
  </w:style>
  <w:style w:type="paragraph" w:customStyle="1" w:styleId="35">
    <w:name w:val="Char Char1 Char Char Char Char1"/>
    <w:basedOn w:val="3"/>
    <w:qFormat/>
    <w:uiPriority w:val="0"/>
    <w:pPr>
      <w:widowControl/>
      <w:adjustRightInd/>
      <w:spacing w:before="140" w:after="0" w:line="220" w:lineRule="atLeast"/>
      <w:ind w:left="720" w:firstLine="0" w:firstLineChars="0"/>
      <w:jc w:val="left"/>
    </w:pPr>
    <w:rPr>
      <w:rFonts w:ascii="Futura Bk BT" w:hAnsi="Futura Bk BT" w:eastAsia="Times New Roman" w:cs="Times New Roman"/>
      <w:b w:val="0"/>
      <w:bCs w:val="0"/>
      <w:spacing w:val="-4"/>
      <w:kern w:val="28"/>
      <w:sz w:val="21"/>
      <w:szCs w:val="20"/>
      <w:lang w:val="en-AU" w:eastAsia="en-US"/>
    </w:rPr>
  </w:style>
  <w:style w:type="character" w:customStyle="1" w:styleId="36">
    <w:name w:val="批注文字 字符"/>
    <w:basedOn w:val="10"/>
    <w:link w:val="4"/>
    <w:qFormat/>
    <w:uiPriority w:val="99"/>
    <w:rPr>
      <w:rFonts w:ascii="Times New Roman" w:hAnsi="Times New Roman" w:eastAsia="仿宋_GB2312" w:cs="Times New Roman"/>
      <w:sz w:val="32"/>
    </w:rPr>
  </w:style>
  <w:style w:type="character" w:customStyle="1" w:styleId="37">
    <w:name w:val="批注主题 字符"/>
    <w:basedOn w:val="36"/>
    <w:link w:val="7"/>
    <w:semiHidden/>
    <w:qFormat/>
    <w:uiPriority w:val="99"/>
    <w:rPr>
      <w:rFonts w:ascii="Times New Roman" w:hAnsi="Times New Roman" w:eastAsia="仿宋_GB2312" w:cs="Times New Roman"/>
      <w:b/>
      <w:bCs/>
      <w:sz w:val="32"/>
    </w:rPr>
  </w:style>
  <w:style w:type="paragraph" w:customStyle="1" w:styleId="38">
    <w:name w:val="修订1"/>
    <w:hidden/>
    <w:semiHidden/>
    <w:qFormat/>
    <w:uiPriority w:val="99"/>
    <w:rPr>
      <w:rFonts w:ascii="Times New Roman" w:hAnsi="Times New Roman" w:eastAsia="仿宋_GB2312" w:cs="Times New Roman"/>
      <w:kern w:val="2"/>
      <w:sz w:val="32"/>
      <w:szCs w:val="22"/>
      <w:lang w:val="en-US" w:eastAsia="zh-CN" w:bidi="ar-SA"/>
    </w:rPr>
  </w:style>
  <w:style w:type="paragraph" w:customStyle="1" w:styleId="39">
    <w:name w:val="ql-align-justify"/>
    <w:basedOn w:val="1"/>
    <w:qFormat/>
    <w:uiPriority w:val="0"/>
    <w:pPr>
      <w:widowControl/>
      <w:overflowPunct/>
      <w:adjustRightInd/>
      <w:spacing w:before="100" w:beforeAutospacing="1" w:after="100" w:afterAutospacing="1"/>
      <w:ind w:firstLine="0" w:firstLineChars="0"/>
      <w:jc w:val="left"/>
    </w:pPr>
    <w:rPr>
      <w:rFonts w:ascii="宋体" w:hAnsi="宋体" w:eastAsia="宋体" w:cs="宋体"/>
      <w:kern w:val="0"/>
      <w:sz w:val="24"/>
      <w:szCs w:val="24"/>
    </w:rPr>
  </w:style>
  <w:style w:type="paragraph" w:customStyle="1" w:styleId="40">
    <w:name w:val="局文件红头"/>
    <w:link w:val="41"/>
    <w:semiHidden/>
    <w:qFormat/>
    <w:uiPriority w:val="0"/>
    <w:pPr>
      <w:snapToGrid w:val="0"/>
      <w:jc w:val="distribute"/>
    </w:pPr>
    <w:rPr>
      <w:rFonts w:ascii="方正小标宋简体" w:hAnsi="Times New Roman" w:eastAsia="方正小标宋简体" w:cstheme="minorBidi"/>
      <w:b/>
      <w:bCs/>
      <w:snapToGrid w:val="0"/>
      <w:color w:val="FF0000"/>
      <w:w w:val="55"/>
      <w:sz w:val="110"/>
      <w:szCs w:val="110"/>
      <w:lang w:val="en-US" w:eastAsia="zh-CN" w:bidi="ar-SA"/>
    </w:rPr>
  </w:style>
  <w:style w:type="character" w:customStyle="1" w:styleId="41">
    <w:name w:val="局文件红头 字符"/>
    <w:basedOn w:val="10"/>
    <w:link w:val="40"/>
    <w:semiHidden/>
    <w:qFormat/>
    <w:uiPriority w:val="0"/>
    <w:rPr>
      <w:rFonts w:ascii="方正小标宋简体" w:hAnsi="Times New Roman" w:eastAsia="方正小标宋简体"/>
      <w:b/>
      <w:bCs/>
      <w:snapToGrid w:val="0"/>
      <w:color w:val="FF0000"/>
      <w:w w:val="55"/>
      <w:kern w:val="0"/>
      <w:sz w:val="110"/>
      <w:szCs w:val="110"/>
    </w:rPr>
  </w:style>
  <w:style w:type="character" w:customStyle="1" w:styleId="42">
    <w:name w:val="标题 1 字符"/>
    <w:basedOn w:val="10"/>
    <w:link w:val="2"/>
    <w:qFormat/>
    <w:uiPriority w:val="4"/>
    <w:rPr>
      <w:rFonts w:ascii="Times New Roman" w:hAnsi="Times New Roman" w:eastAsia="仿宋_GB2312" w:cs="Times New Roman"/>
      <w:b/>
      <w:bCs/>
      <w:kern w:val="44"/>
      <w:sz w:val="44"/>
      <w:szCs w:val="44"/>
    </w:rPr>
  </w:style>
  <w:style w:type="paragraph" w:customStyle="1" w:styleId="43">
    <w:name w:val="Revision"/>
    <w:hidden/>
    <w:semiHidden/>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4568</Words>
  <Characters>26040</Characters>
  <Lines>217</Lines>
  <Paragraphs>61</Paragraphs>
  <TotalTime>2</TotalTime>
  <ScaleCrop>false</ScaleCrop>
  <LinksUpToDate>false</LinksUpToDate>
  <CharactersWithSpaces>30547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2022-05-27T17:30:00Z</dcterms:created>
  <dc:creator>王 驰</dc:creator>
  <cp:lastModifiedBy>sysxxzx034</cp:lastModifiedBy>
  <cp:lastPrinted>2022-05-25T14:46:00Z</cp:lastPrinted>
  <dcterms:modified xsi:type="dcterms:W3CDTF">2023-07-19T14:42:27Z</dcterms:modified>
  <dc:title>沈阳市“十四五”市场监管规划</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0D13D9929B5343B5816975FED328C3CC</vt:lpwstr>
  </property>
</Properties>
</file>